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Julgado em: </w:t>
      </w:r>
      <w:r>
        <w:t xml:space="preserve">25/09/1985</w:t>
      </w:r>
    </w:p>
    <w:p/>
    <w:p>
      <w:r>
        <w:t xml:space="preserve">SE TEM DIREITO AO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MM. Junta condenou a reclamada a pagar adicional de insalubridade ao reclamante LUIZ DE QUADROS. Contudo, o art. 13 da Lei nº 5.889/73, bem como o art. 28 do Decreto nº 73.626/74, dispõem que as normas de segurança e higiene do trabalho a serem observadas nos locais de serviço rural serão fixadas em portaria do Ministério do Trabalho e Previdência Social. Certamente, ao assim estabelecer, o legislador levou em consideração a circunstância de que a atividade rural tem características próprias, distintas das demais. De tal sorte, inexistindo, ainda, a portaria mencionada não tem direito o trabalhador, rural ao percebimento de adicional de insalubridade ... . Proc. TRT-198/85, Julgado em 26-09-1985 Arquivo do EMFOR, TRT/394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direito o rurícola à tutela das normas consolidadas relativas à segurança e medicina do trabalho, por força do disposto no artigo 13 da Lei nº 5.889/73.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2026-07-28T03:43:44.027Z</dcterms:created>
  <dcterms:modified xsi:type="dcterms:W3CDTF">2026-07-28T03:43:44.027Z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