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TRABALHO TEMPORÁRIO</w:t>
      </w:r>
    </w:p>
    <w:p>
      <w:r>
        <w:rPr>
          <w:i/>
          <w:iCs/>
          <w:color w:val="666666"/>
        </w:rPr>
        <w:t xml:space="preserve">DECRETO 73.841 DE 13-03-1974</w:t>
      </w:r>
    </w:p>
    <w:p/>
    <w:p>
      <w:r>
        <w:rPr>
          <w:b/>
          <w:bCs/>
        </w:rPr>
        <w:t xml:space="preserve">Relator: </w:t>
      </w:r>
      <w:r>
        <w:t xml:space="preserve">FRANCISCO A</w:t>
      </w:r>
    </w:p>
    <w:p>
      <w:r>
        <w:rPr>
          <w:b/>
          <w:bCs/>
        </w:rPr>
        <w:t xml:space="preserve">Julgado em: </w:t>
      </w:r>
      <w:r>
        <w:t xml:space="preserve">09/04/1986</w:t>
      </w:r>
    </w:p>
    <w:p/>
    <w:p>
      <w:r>
        <w:t xml:space="preserve">SE TEM DIREITO AO ADICIONAL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Quanto ao pagamento do adicional em si, com a devida vênia dos entendimentos em contrário, não merece reparo a decisão. Embora a NR-1, item 1.1 da Portaria 3.214/78 se refira a locais de trabalho sujeitos às disposições da CLT, tem-se que na hipótese em exame não está a recorrente excluída do cumprimento das normas de proteção asseguradas aos trabalhadores, pelo exercício de suas atividades sob condições insalubres ou perigosas. É o que depreende do disposto no art. 192 da CLT combinado com o art. 13 da Lei nº 6.514/77, que alterou o Capítulo V, Título II, da CLT, até aos avulsos restou assegurado respeito às normas protetoras do trabalho no que concerne aos riscos que o mesmo oferece, não se podendo negar ao rurícola, até pelo princípio de isonomia garantido pela Constituição Federal, idêntico tratamento. Mantém-se a decisão. Proc. TRT-3.052/85. Julgado em 10-04-1986 Arquivo do EMFOR, TRT/428 NO SENTIDO CONTRÁRIO: Recurso Ordinário, Tr. Reg. 4ª T, Relator: Juiz FRANCISCO A. A. DA COSTA NETTO, Proc. TRT-198/85, ac. de 26-09-1985, "in" EMFOR, Nº 449. EMFOR 459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Tendo o laudo pericial constatado a existência de insalubridade em grau máximo no trabalho dos reclamantes, é de ser deferido o respectivo adicional, eis que o trabalhador rural não está excluído do direito à sua percepção.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2026-10-16T17:18:05.169Z</dcterms:created>
  <dcterms:modified xsi:type="dcterms:W3CDTF">2026-10-16T17:18:05.169Z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