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19/08/1985</w:t>
      </w:r>
    </w:p>
    <w:p/>
    <w:p>
      <w:r>
        <w:t xml:space="preserve">REFLORESTAMENTO — FIM INDUSTRIAL - PRAZO BIENAL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dou provimento à revista para aplicar, à condenação, a prescrição bienal do art. 11 da CLT, e isto porque, trabalhava o acionante em atividade agrícola ligada à industria. - No particular, é firme a jurisprudência a considerar que "a indústria não é rural pela localização em zona de propriedade rural, mas pela natureza da atividade principal explorada". Assim, o empregado de uma sociedade que explora usina metalúrgica não é trabalhador rural embora preste serviço em reflorestamento, pois esta atividade destina-se à alimentação dos fornos, e adere portanto, a atividade principal. Aplicando-se, à hipótese, a prescrição bienal do art. 11 da CLT. - Dou provimento à revista para determinar a aplicação, ao caso, da prescrição bienal. Proc. TST-RR-7.696/84, Julgado em 20-08-1985 Arquivo do EMFOR, TST/1.864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trabalhando em meio rural, mas que se destina a fins industriais, como reflorestamento para carvão de usina siderúrgica, é de entender-se como industrial a sua atividade, por isso, sujeita a prescrição bienal do artigo 11 da Consolidação da Lei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2026-10-16T18:21:02.817Z</dcterms:created>
  <dcterms:modified xsi:type="dcterms:W3CDTF">2026-10-16T18:21:02.817Z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