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Julgado em: </w:t>
      </w:r>
      <w:r>
        <w:t xml:space="preserve">10/04/1985</w:t>
      </w:r>
    </w:p>
    <w:p/>
    <w:p>
      <w:r>
        <w:t xml:space="preserve">CÔNJUGE SEPARADO DE FATO HÁ MAIS DE CINCO ANOS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pretensão dos requerentes, em princípio, estaria autorizada pelo § 2º do art. 1º da Lei 883/49, acrescentado pela Lei 7.250, de 14-11-84. De acordo com tal dispositivo, "mediante sentença transitada em julgado, o filho havido fora do matrimônio, poderá ser reconhecido pelo cônjuge separado de fato há mais de cinco anos contínuos". - O MM. Juiz, contudo, não poderia ter proferido a sentença de plano, sem qualquer prova dos fatos alegados no pedido inicial. Os requerentes deverão comprovar, pelos meios admissíveis, que a mãe da menor se encontra realmente separada de fato de seu marido, por mais de cinco anos ininterruptos. - A apelação, portanto, é parcialmente provida, para a anulação da sentença, a fim de que outra seja proferida após a dilação probatória. Julgado em 11-04-1985 Revista dos Tribunais. Setembro, 1985 - Vol. 599 - Pág. 54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1º, § 2º, da Lei 883/49. - O filho adulterino pode ser reconhecido pelo cônjuge separado de fato há mais de cinco anos porém tal circunstância deve restar plenamente provada nos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2026-10-26T04:30:54.102Z</dcterms:created>
  <dcterms:modified xsi:type="dcterms:W3CDTF">2026-10-26T04:30:54.102Z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