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Julgado em: </w:t>
      </w:r>
      <w:r>
        <w:t xml:space="preserve">10/04/1985</w:t>
      </w:r>
    </w:p>
    <w:p/>
    <w:p>
      <w:r>
        <w:t xml:space="preserve">CÔNJUGE SEPARADO DE FATO HÁ MAIS DE CINCO ANOS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pretensão dos requerentes, em princípio, estaria autorizada pelo § 2º do art. 1º da Lei 883/49, acrescentado pela Lei 7.250, de 14-11-84. De acordo com tal dispositivo, "mediante sentença transitada em julgado, o filho havido fora do matrimônio, poderá ser reconhecido pelo cônjuge separado de fato há mais de cinco anos contínuos". - O MM. Juiz, contudo, não poderia ter proferido a sentença de plano, sem qualquer prova dos fatos alegados no pedido inicial. Os requerentes deverão comprovar, pelos meios admissíveis, que a mãe da menor se encontra realmente separada de fato de seu marido, por mais de cinco anos ininterruptos. - A apelação, portanto, é parcialmente provida, para a anulação da sentença, a fim de que outra seja proferida após a dilação probatória. Julgado em 11-04-1985 Revista dos Tribunais. Setembro, 1985 - Vol. 599 - Pág. 54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1º, § 2º, da Lei 883/49. - O filho adulterino pode ser reconhecido pelo cônjuge separado de fato há mais de cinco anos porém tal circunstância deve restar plenamente provada nos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2026-07-28T04:09:36.639Z</dcterms:created>
  <dcterms:modified xsi:type="dcterms:W3CDTF">2026-07-28T04:09:36.639Z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