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TRABALHO TEMPORÁRIO</w:t>
      </w:r>
    </w:p>
    <w:p>
      <w:r>
        <w:rPr>
          <w:i/>
          <w:iCs/>
          <w:color w:val="666666"/>
        </w:rPr>
        <w:t xml:space="preserve">DECRETO 73.841 DE 13-03-1974</w:t>
      </w:r>
    </w:p>
    <w:p/>
    <w:p/>
    <w:p>
      <w:r>
        <w:t xml:space="preserve">EMPREGADO TRANSFERIDO PARA O SERVIÇO DIURNO — PERDA DO DIREITO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TRANSFERÊNCIA PARA O PERÍODO DIURNO DE TRABALHO IMPLICA NA PERDA DO DIREITO AO ADICIONAL NOTURNO. Referências: CF, art. 165, IV. CLT, arts. 73 e 381. DJ de 20-1-87. N. da R.: V. decisões NO MESMO SENTIDO e NO SENTIDO CONTRÁRIO nas fichas anteriores dos mesmos título e sub-título. EMFOR 460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2026-10-16T16:05:59.436Z</dcterms:created>
  <dcterms:modified xsi:type="dcterms:W3CDTF">2026-10-16T16:05:59.436Z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