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/>
    <w:p>
      <w:r>
        <w:t xml:space="preserve">QUANDO INTEGRA A REMUNERAÇÃO PARA TODOS OS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noturno, pago com habitualidade, integra o salário do empregado para todos os efeitos. Referência: Art. 468 da CLT. Aprovado pela Resolução Administrativa nº 105/74, de 18.10.74. Publicado no Diário da Justiça de 24.10.74.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2026-10-16T16:09:38.437Z</dcterms:created>
  <dcterms:modified xsi:type="dcterms:W3CDTF">2026-10-16T16:09:38.437Z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