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Recurso: </w:t>
      </w:r>
      <w:r>
        <w:t xml:space="preserve">RE 49.296</w:t>
      </w:r>
    </w:p>
    <w:p/>
    <w:p>
      <w:r>
        <w:t xml:space="preserve">DURAÇÃO LEGAL DA HORA NOTURNA — VANTAGEM SUPLEMENTAR QUE NÃO O DISPENSA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duração legal da hora de serviço noturno (52 minutos e trinta segundos) constitui vantagem suplementar, que não dispensa o salário adicional. Referência: CF, artigo 157, III; CLT, artigo 73, § 1º RE 49.296, de 09.01.62. ERE 48.800, de 11.06.62 (D.J. de 16.11.62, p. 717). Aprovada em Sessão de 13-12-1963 - pág. 105 Revisada pela Resolução 127/05. DJ de 14-03-2005, 15-03-2005 e 16-03-2005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2026-10-16T17:18:17.432Z</dcterms:created>
  <dcterms:modified xsi:type="dcterms:W3CDTF">2026-10-16T17:18:17.432Z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