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Recurso: </w:t>
      </w:r>
      <w:r>
        <w:t xml:space="preserve">RE 49.296</w:t>
      </w:r>
    </w:p>
    <w:p/>
    <w:p>
      <w:r>
        <w:t xml:space="preserve">DURAÇÃO LEGAL DA HORA NOTURNA — VANTAGEM SUPLEMENTAR QUE NÃO O DISPENSA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duração legal da hora de serviço noturno (52 minutos e trinta segundos) constitui vantagem suplementar, que não dispensa o salário adicional. Referência: CF, artigo 157, III; CLT, artigo 73, § 1º RE 49.296, de 09.01.62. ERE 48.800, de 11.06.62 (D.J. de 16.11.62, p. 717). Aprovada em Sessão de 13-12-1963 - pág. 105 Revisada pela Resolução 127/05. DJ de 14-03-2005, 15-03-2005 e 16-03-2005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2026-07-28T03:39:36.858Z</dcterms:created>
  <dcterms:modified xsi:type="dcterms:W3CDTF">2026-07-28T03:39:36.858Z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