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TRABALHO TEMPORÁRIO</w:t>
      </w:r>
    </w:p>
    <w:p>
      <w:r>
        <w:rPr>
          <w:i/>
          <w:iCs/>
          <w:color w:val="666666"/>
        </w:rPr>
        <w:t xml:space="preserve">DECRETO 73.841 DE 13-03-1974</w:t>
      </w:r>
    </w:p>
    <w:p/>
    <w:p>
      <w:r>
        <w:rPr>
          <w:b/>
          <w:bCs/>
        </w:rPr>
        <w:t xml:space="preserve">Recurso: </w:t>
      </w:r>
      <w:r>
        <w:t xml:space="preserve">RE 54.103</w:t>
      </w:r>
    </w:p>
    <w:p/>
    <w:p>
      <w:r>
        <w:t xml:space="preserve">IDENTIDADE ENTRE O TRABALHO NOTURNO E O DIURNO — PAGAMENTO - COMO SE FARÁ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Provada a identidade entre o trabalho diurno e o noturno é devido o adicional, quanto a este, sem a limitação do artigo 73, parágrafo 3º, da CLT, independentemente da natureza da atividade do empregador. Referência: CF, artigo 157, III RE 54.103, de 03.09.63 (D.J. de 31.10.63, p. 1.100). Aprovada em Sessão de 13-12-1963 - pág. 139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2026-07-28T03:38:16.583Z</dcterms:created>
  <dcterms:modified xsi:type="dcterms:W3CDTF">2026-07-28T03:38:16.583Z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