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Recurso: </w:t>
      </w:r>
      <w:r>
        <w:t xml:space="preserve">RE 54.103</w:t>
      </w:r>
    </w:p>
    <w:p/>
    <w:p>
      <w:r>
        <w:t xml:space="preserve">IDENTIDADE ENTRE O TRABALHO NOTURNO E O DIURNO — PAGAMENTO - COMO SE FARÁ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identidade entre o trabalho diurno e o noturno é devido o adicional, quanto a este, sem a limitação do artigo 73, parágrafo 3º, da CLT, independentemente da natureza da atividade do empregador. Referência: CF, artigo 157, III RE 54.103, de 03.09.63 (D.J. de 31.10.63, p. 1.100). Aprovada em Sessão de 13-12-1963 - pág. 139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2026-10-16T16:09:48.135Z</dcterms:created>
  <dcterms:modified xsi:type="dcterms:W3CDTF">2026-10-16T16:09:48.135Z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