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URSULINO SANTOS</w:t>
      </w:r>
    </w:p>
    <w:p/>
    <w:p>
      <w:r>
        <w:t xml:space="preserve">HIPÓTESE DE SITUAÇÕES PROVISÓRIAS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se saber se a transferência se deu de forma definitiva ou provisória só revolvendo fatos e provas. O que é vedado nesta instância superior (Enunciado 126 (*) do Tribunal Superior do Trabalho). - Todavia, quanto ao adicional ser devido ou não na hipótese de existir cláusula contratual autorizando a transferência, restou comprovado o dissenso pretoriano pelos primeiro e segundo arestos ... . Os demais são inservíveis, por serem oriundos de Turma do Tribunal Superior do trabalho. - Conheço, neste ponto. - Esta Egrégia Primeira Turma já decidiu que; "Tratando-se de transferência provisória, o empregado tem direito ao recebimento do adicional de transferência de 25% enquanto durar a situação, mesmo que exista cláusula de transferibilidade ". (RR-3434/90, Ac. 1ª T. 1305/90, Relator Ministro URSULINO SANTOS, DJ 26-10-90). - Destarte, nego provimento ao recurso. Ac. nº 3868 de 30-11-1992 Arquivo do EMFOR - TST/3.107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transferência se esta for provisória, ainda que exista cláusula de transferibilidade.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2026-07-28T03:42:28.508Z</dcterms:created>
  <dcterms:modified xsi:type="dcterms:W3CDTF">2026-07-28T03:42:28.508Z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