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URSULINO SANTOS</w:t>
      </w:r>
    </w:p>
    <w:p/>
    <w:p>
      <w:r>
        <w:t xml:space="preserve">HIPÓTESE DE SITUAÇÕES PROVISÓRIAS —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se saber se a transferência se deu de forma definitiva ou provisória só revolvendo fatos e provas. O que é vedado nesta instância superior (Enunciado 126 (*) do Tribunal Superior do Trabalho). - Todavia, quanto ao adicional ser devido ou não na hipótese de existir cláusula contratual autorizando a transferência, restou comprovado o dissenso pretoriano pelos primeiro e segundo arestos ... . Os demais são inservíveis, por serem oriundos de Turma do Tribunal Superior do trabalho. - Conheço, neste ponto. - Esta Egrégia Primeira Turma já decidiu que; "Tratando-se de transferência provisória, o empregado tem direito ao recebimento do adicional de transferência de 25% enquanto durar a situação, mesmo que exista cláusula de transferibilidade ". (RR-3434/90, Ac. 1ª T. 1305/90, Relator Ministro URSULINO SANTOS, DJ 26-10-90). - Destarte, nego provimento ao recurso. Ac. nº 3868 de 30-11-1992 Arquivo do EMFOR - TST/3.107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adicional de transferência se esta for provisória, ainda que exista cláusula de transferibilidade.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2026-10-16T16:59:40.652Z</dcterms:created>
  <dcterms:modified xsi:type="dcterms:W3CDTF">2026-10-16T16:59:40.652Z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