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ADICIONAL POR TEMPO DE SERVIÇO</w:t>
      </w:r>
    </w:p>
    <w:p/>
    <w:p>
      <w:r>
        <w:rPr>
          <w:b/>
          <w:bCs/>
        </w:rPr>
        <w:t xml:space="preserve">Recurso: </w:t>
      </w:r>
      <w:r>
        <w:t xml:space="preserve">RE 43.439</w:t>
      </w:r>
    </w:p>
    <w:p/>
    <w:p>
      <w:r>
        <w:t xml:space="preserve">TRANSFERÊNCIA OU EXTINÇÃO PARCIAL DE ESTABELECIMENTO — CASO EM QUE NÃO SE JUSTIFICA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transferência de estabelecimento, ou a sua extinção parcial, por motivo que não seja de força maior, não justifica a transferência de empregado estável. Referência: CLT, arts. 469, § 2º, 497 e 498 ERE 43.439, de 20.01.61; ERE 43.997, de 28.04.61; RE 52.377, de 22.10.62; RE 49.601, de 23.01.62. EAg 24.042, de 02.06.61; EAg 23.435, de 28.07.61; EAg 24.039, de 11.08.61. Aprovada em sessão de 13-12-1969 - pág. 108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2026-07-28T03:43:47.271Z</dcterms:created>
  <dcterms:modified xsi:type="dcterms:W3CDTF">2026-07-28T03:43:47.271Z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