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ADICIONAL POR TEMPO DE SERVIÇO</w:t>
      </w:r>
    </w:p>
    <w:p/>
    <w:p/>
    <w:p>
      <w:r>
        <w:t xml:space="preserve">LOCAL MAIS DISTANTE DA RESIDÊNCIA DO EMPREGADO — DEVER DO EMPREGADOR EM RELAÇÃO ÀS DESPESAS DE TRANSPORTE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Empregado transferido, por ato unilateral do empregador para local mais distante de sua residência, tem direito a suplemento salarial correspondente ao acréscimo da despesa de transporte. Referência: Arts. 468 e 469 da CLT. Aprovado pela Resolução Administrativa nº 57/70, de 11.11.70. Publicado no Diário Oficial, Parte III, GB, em 02.12.70, pág. 19.269 - nº 223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2026-10-16T17:18:28.170Z</dcterms:created>
  <dcterms:modified xsi:type="dcterms:W3CDTF">2026-10-16T17:18:28.170Z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