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ADICIONAL POR TEMPO DE SERVIÇO</w:t>
      </w:r>
    </w:p>
    <w:p/>
    <w:p/>
    <w:p>
      <w:r>
        <w:t xml:space="preserve">LOCAL MAIS DISTANTE DA RESIDÊNCIA DO EMPREGADO — DEVER DO EMPREGADOR EM RELAÇÃO ÀS DESPESAS DE TRANSPORTE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Empregado transferido, por ato unilateral do empregador para local mais distante de sua residência, tem direito a suplemento salarial correspondente ao acréscimo da despesa de transporte. Referência: Arts. 468 e 469 da CLT. Aprovado pela Resolução Administrativa nº 57/70, de 11.11.70. Publicado no Diário Oficial, Parte III, GB, em 02.12.70, pág. 19.269 - nº 223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2026-07-28T03:39:35.826Z</dcterms:created>
  <dcterms:modified xsi:type="dcterms:W3CDTF">2026-07-28T03:39:35.826Z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