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P/ENTREGA DE COISA INCERTA</w:t>
      </w:r>
    </w:p>
    <w:p/>
    <w:p>
      <w:r>
        <w:rPr>
          <w:b/>
          <w:bCs/>
        </w:rPr>
        <w:t xml:space="preserve">Julgado em: </w:t>
      </w:r>
      <w:r>
        <w:t xml:space="preserve">12/08/1986</w:t>
      </w:r>
    </w:p>
    <w:p/>
    <w:p>
      <w:r>
        <w:t xml:space="preserve">SE A ILIDE O FATO DE TER SIDO O REGISTRO FEITO POR OUTREM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ter sido o registro efetuado por outrem não ilide a presunção de legitimidade do filho, havido na constância da sociedade conjugal (Ementa do EMENTÁRIO FORENSE). RESUMO DO ACÓRDÃO; - Foi o menor, de que a autora é mãe, concebido na constância do casamento. Irrelevante a separação de fato, tanto mais quando as testemunhas informam que a casa da autora era frequentada simultaneamente pelo seu marido e pelo réu. Há pois dúvida sobre quem seja realmente o pai do menor. Essa dúvida porém não é dirimida contra a paternidade do marido, senão a favor da nulidade do registro de nascimento feito por outrem, no caso vertente, o réu. É que vigora, como se sabe, a presunção da legitimidade do filho concebido na constância do casamento, presunção que o marido não ilidiu, somente ele podendo fazê-lo ( arts. 340 e 344 do CC ). Inadmissível a distinção, que se pretendeu fazer, no sentido que a presunção não existe quando o registro é realizado por outrem. A presunção assenta e sólidas razões de ordem pública que, no caso vertente, repelem a distinção que a lei não fez. - Razões sólidas que tornam despiciendos certos indícios que contrariam, de fato a pretensão da autora, tais como o fato de o marido não registrar o menor ( aliás ele deixou de registrar um outro, que a autora registrou) e a declaração desta de que ignora onde o marido se acha, a fim de que não pudesse ser ouvido. E são contraditórios os depoimentos das testemunhas quanto as circunstâncias em que passou o menor à companhia do réu. - Ante o exposto, negam provimento ao recurso. Julgado em 13-08-1986 Arquivo do Ementário Forense, TJ/ 734 EMFOR 459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2026-10-26T02:32:04.539Z</dcterms:created>
  <dcterms:modified xsi:type="dcterms:W3CDTF">2026-10-26T02:32:04.539Z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