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CONTRATO DE TRABALHO</w:t>
      </w:r>
    </w:p>
    <w:p>
      <w:r>
        <w:rPr>
          <w:i/>
          <w:iCs/>
          <w:color w:val="666666"/>
        </w:rPr>
        <w:t xml:space="preserve">MULTA DO ART. 477 DA CLT</w:t>
      </w:r>
    </w:p>
    <w:p/>
    <w:p>
      <w:r>
        <w:rPr>
          <w:b/>
          <w:bCs/>
        </w:rPr>
        <w:t xml:space="preserve">Tribunal: </w:t>
      </w:r>
      <w:r>
        <w:t xml:space="preserve">TST</w:t>
      </w:r>
    </w:p>
    <w:p/>
    <w:p>
      <w:r>
        <w:t xml:space="preserve">SE PODE FICAR RESTRITO À MÃO DE OBRA QUALIFICADA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Conheço pela divergência... - No mérito, bem lançado o acórdão regional, ao consignar: "O entendimento do recorrente de que o contrato de experiência deve se restringir à mão-de-obra qualificada e ainda assim conter as condições da experimentação, "data venia", não pode prevalecer, à ausência de suporte jurídico a ampará-lo. É que a lei não estabelece as condições preconizadas pelo recorrente. Não se pode obrigar o empregador a ir além do que a norma legal determina. A pretensa exigência das condições da experimentação não pode se erigir em condição basilar do contrato de experiência. Nem está obrigado o empregador a fazer prova de que o empregado satisfez ou não as condições da experiência. "É regra de direito que onde a lei não distingue não cabe ao intérprete distinguir. "Nem tal argumentação pode se escudar na obscuridade da lei a merecer interpretação outra que não seja a literal. Sendo clara a lei, não comporta outro tipo de interpretação, senão aquela extraída de seu próprio sentido. Ir além é negar validade à própria lei. Por isso, não me compadeço da idéia da avaliação de critérios objetivos decorrentes da contratação"... "Negaram provimento ao recurso." Proc. nº TST-RR-6.712/83, ac. de 20-11-1984 Arquivo do EMFOR, TST/1.785 EMFOR 443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O empregador não está obrigado a fazer prova da capacidade ou não do empregado. A lei é clara quanto à existência do contrato de experiência e sua finalidade, sendo impertinente avaliar-se critério subjetivo decorrente da contratação, sem restrições quanto à mão-de-obra qualificada ou não.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2026-07-28T01:53:49.073Z</dcterms:created>
  <dcterms:modified xsi:type="dcterms:W3CDTF">2026-07-28T01:53:49.073Z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