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/>
    <w:p>
      <w:r>
        <w:t xml:space="preserve">EMPRESA BRASILEIRA DE CORREIOS E TELÉGRAFOS-ECT — PROCEDIMENTO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de embargos indeferiu o requerimento de expedição de precatório, tomando como principal fundamento o § 1º do artigo 173 da Constituição Federal, e no mesmo sentido convergem os precedentes transcritos no parecer do Ministério Público, que também manifestou-se pelo improvimento do apelo. - Ocorre que tal preceito restou alterado pela Emenda Constitucional nº 19, de 04.06.1998, ficando com a seguinte redação: Artigo 173................................................... § 1º - A lei estabelecerá o estatuto jurídico da empresa pública, da sociedade de economia mista e de suas subsidiárias que explorem atividade econômica de produção ou comercialização de bens ou de prestação de serviços dispondo sobre:(...) - Trata-se de norma constitucional de eficácia contida, que remete à lei a instituição do regime jurídico aplicável. Para que a regra constitucional produza efeitos no mundo jurídico faz-se necessária a edição de lei regulamentadora. Por isso não é pertinente falar que o Decreto-Lei nº 509/69 deixou de ser recebido pela Carta, pois em tal caso não subsistiria regime legal algum para a Empresa Brasileira de Correios e Telégrafos. O efeito da regra constitucional restaria cassado. Incongruente, pois, o julgado da SDI transcrito nestes autos. - O inciso I I, § 1º, do artigo 173 da Constituição, indica ao legislador ordinário que o estatuto jurídico das empresas públicas, sociedades de economia mista e de suas subsidiárias, quando explorem atividade econômica, deva submetê-las ao regime jurídico das empresas privadas. Já o inciso III aplica as regras previstas para os atos de administração pública para a contratação de obras ou serviços, como para compra e alienação de bens. Portanto, trata-se na verdade de um regime jurídico misto. Como o comando constitucional acaba aí, não há nenhuma incompatibilidade entre ele e a impenhorabilidade de bens que venha a ser estabelecida por lei. - A alteração promovida pela Emenda Constitucional nº 19/98 tornou prejudicado o entendimento jurisprudencial citado pelo agravado (fls.), bem como a Orientação Jurisprudencial 87 da SDI, transcrita no parecer do Ministério Público (fls.). O fato das empresas públicas adotarem as regras previstas para a iniciativa privada não quer dizer que estejam ao desabrigo da programação orçamentária, e é esta que justifica o trâmite das execuções pela via do precatório. - Sem dúvida a recorrente integra a Fazenda da União, com seu patrimônio e renda, por ser empresa pública, sendo regida então pelo artigo 100 da CF, que estabelece em seu "caput": "À exceção dos créditos de natureza alimentícia, os pagamentos devidos pela Fazenda Federal, Estadual ou Municipal, em virtude de sentença judiciária, far-se-ão exclusivamente na ordem cronológica de apresentação dos precatórios e à conta dos créditos respectivos, proibida a designação de casos ou pessoas nas dotações orçamentárias e nos créditos adicionais abertos para este fim." - Como os créditos de natureza trabalhista não foram excepcionados pelo dispositivo supra, enquadram-se no pagamento através de precatórios na ordem cronológica de sua apresentação. - Diante do exposto, há conhecimento e provimento do agravo. Sem custas. Ac. de 12-11-1999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artigo 173 da Constituição Federal de 1988, quer na sua redação originária, quer agora - com maior clareza - na da Emenda Constitucional nº 19/98, comete à lei instituir o regime jurídico de empresas públicas e sociedades de economia mista que explorem atividades econômicas. Tratando-se de norma constitucional de eficácia contida, não há que falar tenha ela deixado de receber as disposições do Decreto-Lei nº 509/69 que criou e regulamentou a ECT - Empresa Brasileira de Correios e Telégrafos, cuja execução deve seguir os trâmites do artigo 100 da Carta e 730 do CPC, em face da impenhorabilidade de seus bens.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2026-10-16T16:18:42.756Z</dcterms:created>
  <dcterms:modified xsi:type="dcterms:W3CDTF">2026-10-16T16:18:42.756Z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