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03/03/1985</w:t>
      </w:r>
    </w:p>
    <w:p/>
    <w:p>
      <w:r>
        <w:t xml:space="preserve">SE FAZ JUS À JORNADA REDUZIDA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o reclamante que o acórdão revisando incidiu em erro, vez que denominou a sua função como sendo "Chefe de serviço", quando na realidade exerce as funções de "Chefe de Seção". - O empregado deveria, no entanto, ter apresentado embargos declaratórios para sanar o aludido erro. À falta do remédio próprio a matéria resta preclusa. - No tocante ao indeferimento da jornada reduzida, por não ter o reclamante comprovado que o cargo não envolvia atribuições de chefia, não vislumbro violação do art. 333. II, do CPC, pois o fato de ser "Chefe de seção", já o enquadra na exceção do art. 224 § 2º , da CLT, independentemente de prova de função de confiança. - Os arestos transcritos não configuram divergência jurisprudencial, pois não possuem similitude com a hipótese dos autos. - Insatisfeitos os pressupostos de admissibilidade da revista, nego provimento ao agravo. Proc. TST-AI-4.421/84, Julgado em 04-03-1985 Arquivo do Ementário Forense, TST/1.764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Chefe de seção não faz jus à jornada de trabalho reduzida, pois enquadra-se na exceção do § 2º, do artigo 224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2026-10-16T17:21:15.674Z</dcterms:created>
  <dcterms:modified xsi:type="dcterms:W3CDTF">2026-10-16T17:21:15.674Z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