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17/12/1984</w:t>
      </w:r>
    </w:p>
    <w:p/>
    <w:p>
      <w:r>
        <w:t xml:space="preserve">UM DELES DE NATUREZA BANCÁRIA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 específicas... . - "Meritoriamente", procede o apelo da reclamante, porquanto a mesma era empregada de empresa prestadora de serviços do mesmo grupo econômico da financeira e executava serviços essenciais a ela, pois agenciava os seus negócios (...). Quando entre dois empregadores, como é o caso, fiança Companhia nacional de seguros e Fiança Crédito Financiamento e Investimentos - um é de natureza bancária, o trabalhador deve ter assegurada a jornada normal de 06 horas, pois há identidade de fins entre as duas. - Dou provimento ao recurso, para julgar a ação procedente "in totum" e condenar a empresa a pagar as parcelas postuladas na inicial. Proc. TST.RR-3.607/83, Julgado em 18-12-1984 Arquivo do Ementário Forense, TST/ 1.767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entre dois empregadores coligados, um é Financeira e outro agência os seus negócios, seus empregados têm, como os empregados da que possui atividades bancárias, direito a jornada normal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2026-07-28T03:41:37.143Z</dcterms:created>
  <dcterms:modified xsi:type="dcterms:W3CDTF">2026-07-28T03:41:37.143Z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