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17/12/1984</w:t>
      </w:r>
    </w:p>
    <w:p/>
    <w:p>
      <w:r>
        <w:t xml:space="preserve">UM DELES DE NATUREZA BANCÁRIA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 específicas... . - "Meritoriamente", procede o apelo da reclamante, porquanto a mesma era empregada de empresa prestadora de serviços do mesmo grupo econômico da financeira e executava serviços essenciais a ela, pois agenciava os seus negócios (...). Quando entre dois empregadores, como é o caso, fiança Companhia nacional de seguros e Fiança Crédito Financiamento e Investimentos - um é de natureza bancária, o trabalhador deve ter assegurada a jornada normal de 06 horas, pois há identidade de fins entre as duas. - Dou provimento ao recurso, para julgar a ação procedente "in totum" e condenar a empresa a pagar as parcelas postuladas na inicial. Proc. TST.RR-3.607/83, Julgado em 18-12-1984 Arquivo do Ementário Forense, TST/ 1.767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entre dois empregadores coligados, um é Financeira e outro agência os seus negócios, seus empregados têm, como os empregados da que possui atividades bancárias, direito a jornada normal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2026-10-16T18:12:45.949Z</dcterms:created>
  <dcterms:modified xsi:type="dcterms:W3CDTF">2026-10-16T18:12:45.949Z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