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Julgado em: </w:t>
      </w:r>
      <w:r>
        <w:t xml:space="preserve">21/02/1983</w:t>
      </w:r>
    </w:p>
    <w:p/>
    <w:p>
      <w:r>
        <w:t xml:space="preserve">QUANDO SOMENTE VALE A FEITA NA PESSOA DO CITANDO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Admite-se nas cidades que a notificação seja entregue ao porteiro do prédio porque, na verdade, é ele o preposto dos condôminos para recepção de correspondência. Mas quando a citação é feita por mandado, só tem validade quando ela é feita na pessoa do citando. - Se não encontrado, a lei dá meios e prevê outras providências. - Conforme o douto parecer, que acolho, ao recurso dou provimento para que a citação seja feita na pessoa do senhor O. F. A. tal como pedido na inicial. TRT - 3.332/82, Julgado em 22-02-1983 Arquivo do Ementário Forense TRT.374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citação é feita por mandado só pode ser citado para a reclamação a pessoa nele referida porque assim foi mandado, não outra. Se não encontrada, utilizam-se os meios previstos em lei para a efetiva realização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2026-07-28T03:47:32.274Z</dcterms:created>
  <dcterms:modified xsi:type="dcterms:W3CDTF">2026-07-28T03:47:32.274Z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