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16/12/1984</w:t>
      </w:r>
    </w:p>
    <w:p/>
    <w:p>
      <w:r>
        <w:t xml:space="preserve">QUANDO SE TEM POR VERDADEIROS OS FATOS ALEGADOS PELO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O ônus realmente era do empregador. O art. 818 da CLT deve ser aplicado em concomitância com o art. 209 do CPC. Se ao contestar o réu admite o fato, mas alega outro, impeditivo do direito, cabe-lhe a prova deste fato. - Na verdade os cartões apresentados não abrangem todo o pedido, conforme se verifica da r. sentença que encontra-se assim fundamentada: "Poucos cartões de ponto vieram aos autos (...). As fichas financeiras ... (que a rigor não apresentam quitação) noticiam pagamentos de algumas horas extras. Porém, não estando presentes todos os cartões de ponto não há como fazer o cotejo. A prova é da reclamada a quem se impõe o ônus de comprovar pagamento". (...). - No particular correta a decisão vestibular quando reconheceu o direito e determinou a apuração em execução de sentença, pelo que merece ser restabelecida. - Dou provimento para restabelecer a decisão 1° grau. ... . Julgado em 17-12-1984 Arquivo do Ementário Forense, TST/1.763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818 da Consolidação das Leis do Trabalho deve ser aplicado em concomitância com o artigo 209 do Código de Processo Civil, - Se ao contestar o réu admite o fato, mas alega outro, impeditivo do direito, cabe-lhe a prova deste fato. - E o empregador não se desincumbindo de tal obrigação tem-se como verdadeiros os fatos alegados pelo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2026-10-16T16:33:30.160Z</dcterms:created>
  <dcterms:modified xsi:type="dcterms:W3CDTF">2026-10-16T16:33:30.160Z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