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Julgado em: </w:t>
      </w:r>
      <w:r>
        <w:t xml:space="preserve">12/02/1985</w:t>
      </w:r>
    </w:p>
    <w:p/>
    <w:p>
      <w:r>
        <w:t xml:space="preserve">SOLIDARIEDADE COM O SUBEMPREITEIRO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apelante, baseando-se no instrumento particular de empreitada, sustenta sua condição de simples proprietária das terras onde se realizava o serviço contratado com a outra reclamada, procurando eximir-se de qualquer responsabilidade decorrente da referida prestação laboral. - No entanto, como se vê dos outros termos do citado contrato de empreitada, a recorrente objetivava a realização de atividades que se incluem em sua finalidade empresarial. Com efeito, o plantio de matos, a sua manutenção e corte servem perfeitamente ao fim colimado pela apelante que se dedica à produção de celulose. Em tais circunstâncias, a Riocell não é apenas a dona do terreno, mas, além disso, a tomadora de serviços permanentes e essenciais à sua atividade-fim, serviços esses realizados pela outra empresa, através de empregados. - Na espécie, a empresa Jucarsul não passou de uma subempreiteira que, não dispondo de capital, constituiu-se numa intermediária, contratando o trabalho com a empreiteira principal e fazendo-o realizar por terceiros, os operários. A garantia econômica dos direitos dos empregados não poderia ficar entregue à duvidosa idoneidade econômica dessa subempreiteira. Por isso a lei determina como responsável solidária por esses direitos a empreiteira principal, que é quem efetivamente se beneficiou dos serviços prestados. - Assim, aplica-se à hipótese o art. 455 da CLT, devendo a empreiteira principal, solidariamente responsável que é, responder pelo inadimplemento, pela subempreiteira , das obrigações contratuais. TRT- 8.351/84, Julgado em 13-02-1985 Arquivo do Ementá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455 da CLT. - Caracteriza-se como empreiteira principal, solidariamente responsável pelos direitos trabalhistas dos empregados contratados pela subempreiteira, a empresa que ajusta a prestação de serviços permanentes e inseridos em sua atividade-fim dos quais é ela a efetiva beneficiária.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2026-07-28T01:35:01.391Z</dcterms:created>
  <dcterms:modified xsi:type="dcterms:W3CDTF">2026-07-28T01:35:01.391Z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