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RESCISÃO POR INICIATIVA EMPREGADO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16/12/1984</w:t>
      </w:r>
    </w:p>
    <w:p/>
    <w:p>
      <w:r>
        <w:t xml:space="preserve">INJUSTIÇA — COMO SE CARACTERIZA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Mérito. - As alegações patronais são inaceitáveis. Não há preceito legal obrigando a empregada a comunicar ao empregador que está grávida. Deve ela, apenas apresentar o atestado médico, por ocasião de seu afastamento para o parto (§ 1º, art. 393, da CLT). - Ademais, na data da dispensa a empregada se achava no 6º mês de gravidez e conforme salientou a douta Procuradoria-Geral nesse estágio "a modificação do corpo da mulher torna-se evidente, dispensando-se qualquer aviso ou comunicação, desde que dita comunicação resulte, como resultou, de gravidez comprovada". - Nego provimento. Proc. TST-RR-1.576/84, Julgado em 17-12-1984 Arquivo do Ementário Forense, TST/1.762 EMFOR 441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preceito obrigando a empregada comunicar ao empregador que está grávida. -- Deve ela, apenas apresentar o atestado médico por ocasião de seu afastamento para o parto (§1º art. 393, da Consolidação das Leis do Trabalho.)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2026-07-28T04:24:37.690Z</dcterms:created>
  <dcterms:modified xsi:type="dcterms:W3CDTF">2026-07-28T04:24:37.690Z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