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RESCISÃO POR INICIATIVA EMPREGADO</w:t>
      </w:r>
    </w:p>
    <w:p/>
    <w:p>
      <w:r>
        <w:rPr>
          <w:b/>
          <w:bCs/>
        </w:rPr>
        <w:t xml:space="preserve">Julgado em: </w:t>
      </w:r>
      <w:r>
        <w:t xml:space="preserve">07/05/1985</w:t>
      </w:r>
    </w:p>
    <w:p/>
    <w:p>
      <w:r>
        <w:t xml:space="preserve">TEMPO DESPENDIDO — QUANDO DEVE  SER REMUNERADO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razão a recorrente. - Com efeito, os argumentos por ela apresentados em nada lhe favorecem, pois o que importa é que ela obrigava a reclamante a vestir-se na forma exigida para, após, registrar o inicio da jornada. Porém este tempo despendido na troca de roupas sem as quais não poderia laborar, deve ser considerado como tempo à disposição da demandada, na forma do que dispõe o art. 4° da CLT, eis que gasto dentro do estabelecimento da mesma e necessário à execução do serviço. Assim, deve a reclamante ser remunerada pelo tempo gasto, não importando para o deslinde do litígio o fato de ser exigência de órgão de saúde pública. - E como as partes, através do acordo..., acordaram que este tempo seria de 10 minutos em cada troca, nada há a modificar-se na R. decisão. TRT- 9.699/1984, Julgado em 08-05-1985. VENCIDO O JUIZ (Revisor) (omisso), em negar provimento ao recurso. Arquivo do Ementário Forense, TRT/370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despendido pelo empregado na troca de roupa para colocação de uniforme e retirá-lo, na entrada e na saída do serviço, deve ser considerado tempo à disposição da empregadora, desde que obrigatório o uso do uniforme na execução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2026-07-28T01:58:06.152Z</dcterms:created>
  <dcterms:modified xsi:type="dcterms:W3CDTF">2026-07-28T01:58:06.152Z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