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RESCISÃO POR INICIATIVA EMPREGADO</w:t>
      </w:r>
    </w:p>
    <w:p/>
    <w:p>
      <w:r>
        <w:rPr>
          <w:b/>
          <w:bCs/>
        </w:rPr>
        <w:t xml:space="preserve">Julgado em: </w:t>
      </w:r>
      <w:r>
        <w:t xml:space="preserve">16/12/1984</w:t>
      </w:r>
    </w:p>
    <w:p/>
    <w:p>
      <w:r>
        <w:t xml:space="preserve">SE PODE TAL ÔNUS SER ATRIBUÍDO AO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Conheço em face da divergência... . - Razão assiste ao reclamante. - Em obediência à jurisprudência, "data venia" da decisão revisanda, no que tange a honorários periciais, o art. 33 do CPC é incompatível com a natureza protecionista do direito do trabalho, pois, entender-se o contrário seria afastar do empregado a possibilidade de vir a juízo pleitear seus direitos, ante a perspectiva de que, se eventualmente vencido, tenha ele de arcar com tal ônus. - No presente caso, o empregador foi vencido quanto a equiparação salarial e seu inconformismo não o exonera da obrigação de arcar com a despesa invocada. Além do mais, o laudo sobre o qual gira a controvérsia declarou existir deficiência iluminatória no qual o fato de não ter sido acatado, não faz incidir sobre o reclamante a responsabilidade pecuniária de sua realização. - Desta forma dou provimento no particular para reformando o decisório, condenar a reclamada a pagar os honorários periciais. Julgado em 17-12-1984 VENCIDO O MIN. NÉLSON TAPAJÓS Arquivo do Ementário Forense, TRT/1.763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33 do Código de Processo Civil é incompatível com a natureza protecionista do Direito do Trabalho, pois, entender-se o contrário seria afastar do empregado a possibilidade de vir a juízo pleitear seus direitos, ante a perspectiva de que, se eventualmente vencido, tenha ele de arcar com tal ônus.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2026-10-16T16:12:20.178Z</dcterms:created>
  <dcterms:modified xsi:type="dcterms:W3CDTF">2026-10-16T16:12:20.178Z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