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TUTELA ANTECIPADA</w:t>
      </w:r>
    </w:p>
    <w:p/>
    <w:p>
      <w:r>
        <w:rPr>
          <w:b/>
          <w:bCs/>
        </w:rPr>
        <w:t xml:space="preserve">Julgado em: </w:t>
      </w:r>
      <w:r>
        <w:t xml:space="preserve">18/01/1982</w:t>
      </w:r>
    </w:p>
    <w:p/>
    <w:p>
      <w:r>
        <w:t xml:space="preserve">EMPRESAS DIFERENTES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Consagrado pela própria Constituição da República como conquista da maior importância no direito social contemporâneo, o art. 461 da CLT foi por isso mesmo tratado com grande cautela pelo legislador ordinário, por constituir, ao lado disso, instrumento dos mais perigosos em sua aplicação. - Nessa linha de pensamento, colocou-se o citado dispositivo, nele se estabelecendo um campo de limitações rígido, do qual não se pode fugir. - Ora, o que exige a lei, Em princípio identidade de função, aí se envolvendo, iguais atribuições e responsabilidades. Depois, que o trabalho assim produzido seja de igual valor, isto é, com as características do § 1º do "caput" em exame. Em seguida, que o "equiparando" e seu "modelo" trabalhem para o mesmo empregador, na mesma localidade. - Decididamente, reclamantes e paradigmas, na espécie dos autos, não satisfazem os citados requisitos para a equiparação salarial pretendida. TRT - 9.200/80. Julgado em 19-01-1982 Arquivo do EMFOR, TRT/342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direitos à equiparação salarial entre empregados de empresas diferentes, mesmo que pertencentes ao mesmo Grupo empresarial.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2026-07-28T00:15:42.494Z</dcterms:created>
  <dcterms:modified xsi:type="dcterms:W3CDTF">2026-07-28T00:15:42.494Z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