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TUTELA ANTECIPADA</w:t>
      </w:r>
    </w:p>
    <w:p/>
    <w:p>
      <w:r>
        <w:rPr>
          <w:b/>
          <w:bCs/>
        </w:rPr>
        <w:t xml:space="preserve">Julgado em: </w:t>
      </w:r>
      <w:r>
        <w:t xml:space="preserve">18/01/1982</w:t>
      </w:r>
    </w:p>
    <w:p/>
    <w:p>
      <w:r>
        <w:t xml:space="preserve">EMPRESAS DIFERENTES — DESCABIMENTO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Consagrado pela própria Constituição da República como conquista da maior importância no direito social contemporâneo, o art. 461 da CLT foi por isso mesmo tratado com grande cautela pelo legislador ordinário, por constituir, ao lado disso, instrumento dos mais perigosos em sua aplicação. - Nessa linha de pensamento, colocou-se o citado dispositivo, nele se estabelecendo um campo de limitações rígido, do qual não se pode fugir. - Ora, o que exige a lei, Em princípio identidade de função, aí se envolvendo, iguais atribuições e responsabilidades. Depois, que o trabalho assim produzido seja de igual valor, isto é, com as características do § 1º do "caput" em exame. Em seguida, que o "equiparando" e seu "modelo" trabalhem para o mesmo empregador, na mesma localidade. - Decididamente, reclamantes e paradigmas, na espécie dos autos, não satisfazem os citados requisitos para a equiparação salarial pretendida. TRT - 9.200/80. Julgado em 19-01-1982 Arquivo do EMFOR, TRT/342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direitos à equiparação salarial entre empregados de empresas diferentes, mesmo que pertencentes ao mesmo Grupo empresarial.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2026-10-26T02:19:54.023Z</dcterms:created>
  <dcterms:modified xsi:type="dcterms:W3CDTF">2026-10-26T02:19:54.023Z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