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TUTELA ANTECIPADA</w:t>
      </w:r>
    </w:p>
    <w:p/>
    <w:p>
      <w:r>
        <w:rPr>
          <w:b/>
          <w:bCs/>
        </w:rPr>
        <w:t xml:space="preserve">Recurso: </w:t>
      </w:r>
      <w:r>
        <w:t xml:space="preserve">RE 99.610</w:t>
      </w:r>
    </w:p>
    <w:p>
      <w:r>
        <w:rPr>
          <w:b/>
          <w:bCs/>
        </w:rPr>
        <w:t xml:space="preserve">Julgado em: </w:t>
      </w:r>
      <w:r>
        <w:t xml:space="preserve">03/09/1984</w:t>
      </w:r>
    </w:p>
    <w:p/>
    <w:p>
      <w:r>
        <w:t xml:space="preserve">QUADRO DE PESSOAL DE ESCOLA ESTADUAL — COMPETÊNCIA DA JUSTIÇA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Ora, o Estado Recorrente demonstra haver editado a Lei 7.109/77, regulamentada pelo Decreto nº 20.190 de 1979, onde se estabelece o regime do pessoal temporário, necessário à complementação do quadro de pessoal de escola estadual aí compreendida a categoria de servente escolar, na qual se inclui o Recorrido. Tal diploma legal reveste o atributo de lei especial, segundo o molde do art. 106 da Constituição, conforme reconhecido por esta Corte, no julgamento do RE nº 99.610, da Egrégia Segunda Turma, relatado pelo eminente Ministro MOREIRA ALVES. - A relação jurídica no caso, entre o Estado e o servidor tem, portanto, natureza administrativa, desde o advento da lei reguladora e não mais o caráter trabalhista, ainda que o vínculo se tenha iniciado sob esse signo, pois pacífico é o entendimento de que, face à superveniência da lei com tal suporte constitucional, não há direito adquirido a opor-se-lhe. - Daí resulta, portanto, a competência da Justiça Estadual, para o processo e julgamento da lide em foco, e por absolutamente incompetente a Justiça do Trabalho, se não carente de jurisdição nulos os atos decisórios por ela praticados. Julgado em 04-09-1984 Revista Trimestral de Jurisprudência, Janeiro 1985 - Vol. 111 - Pág. 444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regência de situações funcionais pela Lei nº 7.109/77 tem cunho administrativo, pois se trata de lei especial com fulcro no art. 106 da Constituição, cuja aplicabilidade suscita a competência da Justiça Comum.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2026-07-28T02:34:57.227Z</dcterms:created>
  <dcterms:modified xsi:type="dcterms:W3CDTF">2026-07-28T02:34:57.227Z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