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07/11/1984</w:t>
      </w:r>
    </w:p>
    <w:p/>
    <w:p>
      <w:r>
        <w:t xml:space="preserve">QUANDO PODE SER FEITO APÓS AJUIZAMENTO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prazo de depósito e de sua comprovação confundem-se, assim, com o próprio prazo recursal. Neste sentido é aliás, a ementa do Egrégio Pleno do TST, transcrita à fl ... . Assim não fosse, e estar-se-ia penalizando a parte com a perda de alguns dias do prazo recursal. Se o art. 7º da Lei nº 5.584/70 diz que "a comprovação do depósito da condenação (CLT, art. 899 §§ 1º a 5º) terá que ser feita dentro do prazo para a interposição do recurso", tudo está a indicar que o depósito prévio de que fala o § 1º do art. 899 da CLT poderá também ser feito dentro do mesmo prazo. Sinale-se, a propósito, "que a redação do art. 899 da CLT", dada pela Lei nº 5.442/88, e anterior à disposição contida no art. 7º da Lei nº 5.584/70. Na interpretação da lei, antes que à sua literalidade deve o julgador ater-se primacialmente ao seu conteúdo teológico. TRT - 1.531/84. Julgado em 08-11-1984 Arquivo do EMFOR, TRT/340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do valor da condenação pode ser feito após o ajuizamento do recurso, dentro porém do prazo para sua interposição.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2026-07-27T23:39:53.999Z</dcterms:created>
  <dcterms:modified xsi:type="dcterms:W3CDTF">2026-07-27T23:39:53.999Z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