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ILDÉLIO MARTINS</w:t>
      </w:r>
    </w:p>
    <w:p/>
    <w:p>
      <w:r>
        <w:t xml:space="preserve">TRANSFERÊNCIA PARA ESTA DAS OBRIGAÇÕES DE PREVIDÊNCIA ASSUMIDAS PELA PETROBRÁS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87 (*) da Súmula do TST foi editado especificamente para regular as situações envolvendo a PETROBRÁS decorrente de vantagens que ela própria instituiu e que posteriormente transferiu para a Fundação PETROS. - A jurisprudência cristalizada no Enunciado nº 87 (*) da Súmula é no sentido de autorizar a dedução do valor do benefício qualquer que seja ele, com as vantagens previdenciárias pagas pela instituição de previdência privada criada pela empresa e equivalente. É o caso dos autos. Assim, dou provimento ao recurso na parte conhecida, para autorizar a dedução dos valores e vantagens percebidas pela viúva do reclamante da instituição de previdência privada. Proc. TST-RR-2.860/85, ac. de 26-11-1985 Arquivo do Ementário Forense, TST/1.890 N. da R.: No mesmo sentido acórdão da 1ª T. , Proc. TST-RR-5.948-84. ac. 13-11-85, Relator Ministro ILDÉLIO MARTINS.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ou seu beneficiário já recebeu da instituição previdenciária privada criada pela empresa vantagens equivalentes, é cabível dedução do seu valor do benefício a que faz jus por norma regulamentar anterior.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2026-07-28T00:12:53.570Z</dcterms:created>
  <dcterms:modified xsi:type="dcterms:W3CDTF">2026-07-28T00:12:53.570Z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