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Julgado em: </w:t>
      </w:r>
      <w:r>
        <w:t xml:space="preserve">30/11/1983</w:t>
      </w:r>
    </w:p>
    <w:p/>
    <w:p>
      <w:r>
        <w:t xml:space="preserve">COMO SE CARACTERIZA PARA O EFEITO DA LEGISLAÇÃO TRABALHISTA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...A pretensão do recorrente não encontra amparo na Lei Estadual nº 4.528, de 12-7-63, pois dispõe a mesma, em seu art. 1º, § 1º, que "o serviço permanente será executado exclusivamente por funcionários ocupantes de cargos de provimento afetivo ou em comissão, salvo a hipótese prevista no § 2º do art. 4º desta Lei. A referida excessão concerne ao pessoal de obras e pessoal temporário, aos quais a Lei Estadual reconhece os direitos e deveres definidos na Legislação trabalhista. Não se confunda a atividade do professor com a do pessoal de obras ou do pessoal temporário. As Leis Estaduais números 6.672 / 74 e 4.937 / 65, não se ajustam a exigência do art. 106 da Constituição Federal. Se o reclamante não se constitui em funcionário público estadual, por não atender sua situação a norma estatutária, não se lhe pode recusar a proteção do direito do trabalho. Neste mesmo sentido já decidiu esta Turma, segundo o acórdão transladado a fls... a cujos fundamentos nos reportamos. As parcelas deferidas pela sentença constituem decorrência do contrato de trabalho tutelado pelo direito do trabalho. - Por tais razões deve ser confirmada a sentença de 1º Grau, como recomenda o MP. TRT - 6.130 / 83, Julgado em 01-12-1983 Arquivo do Ementário Forense, TRT / 319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Funcionário público é pessoa legalmente investida no cargo público. Cargo público, segundo o Estatuto do Funcionário Civil do Estado, é o criado em lei, em número certo, com denominação própria e pago pelos cofres do Estado.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2026-07-28T01:29:18.200Z</dcterms:created>
  <dcterms:modified xsi:type="dcterms:W3CDTF">2026-07-28T01:29:18.200Z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