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Julgado em: </w:t>
      </w:r>
      <w:r>
        <w:t xml:space="preserve">30/11/1983</w:t>
      </w:r>
    </w:p>
    <w:p/>
    <w:p>
      <w:r>
        <w:t xml:space="preserve">COMO SE CARACTERIZA PARA O EFEITO DA LEGISLAÇÃO TRABALHISTA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...A pretensão do recorrente não encontra amparo na Lei Estadual nº 4.528, de 12-7-63, pois dispõe a mesma, em seu art. 1º, § 1º, que "o serviço permanente será executado exclusivamente por funcionários ocupantes de cargos de provimento afetivo ou em comissão, salvo a hipótese prevista no § 2º do art. 4º desta Lei. A referida excessão concerne ao pessoal de obras e pessoal temporário, aos quais a Lei Estadual reconhece os direitos e deveres definidos na Legislação trabalhista. Não se confunda a atividade do professor com a do pessoal de obras ou do pessoal temporário. As Leis Estaduais números 6.672 / 74 e 4.937 / 65, não se ajustam a exigência do art. 106 da Constituição Federal. Se o reclamante não se constitui em funcionário público estadual, por não atender sua situação a norma estatutária, não se lhe pode recusar a proteção do direito do trabalho. Neste mesmo sentido já decidiu esta Turma, segundo o acórdão transladado a fls... a cujos fundamentos nos reportamos. As parcelas deferidas pela sentença constituem decorrência do contrato de trabalho tutelado pelo direito do trabalho. - Por tais razões deve ser confirmada a sentença de 1º Grau, como recomenda o MP. TRT - 6.130 / 83, Julgado em 01-12-1983 Arquivo do Ementário Forense, TRT / 319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Funcionário público é pessoa legalmente investida no cargo público. Cargo público, segundo o Estatuto do Funcionário Civil do Estado, é o criado em lei, em número certo, com denominação própria e pago pelos cofres do Estado.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2026-10-16T16:12:13.078Z</dcterms:created>
  <dcterms:modified xsi:type="dcterms:W3CDTF">2026-10-16T16:12:13.078Z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