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23/02/1984</w:t>
      </w:r>
    </w:p>
    <w:p/>
    <w:p>
      <w:r>
        <w:t xml:space="preserve">DECISÃO DE TURMA DO TST — DESCABIMENTO - MATÉRIA NÃO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brilhante argumentação da Agravante, em torno à recorribilidade da decisão proferida em agravo por Turma do Tribunal Superior do Trabalho, em face do art. 894 da CLT, dá maior razão ao argumento de que a matéria se posiciona no campo da simples interpretação da lei processual. - Transitasse a matéria recursal na área da jurisdição comum, estaria ela vedada, por versar cabimento de recurso, diante da vedação regimental constante do art. 325, VII, do RI. "A fortiori", o entendimento se aplica na instância trabalhista, pois o que daí se deduz é que a controvérsia não assume nível constitucional. - Basta ver que, na própria petição de embargos, a impugnação ao acórdão da revista não busca apoio em qualquer preceito constitucional que tenha por violado, senão nas normas processuais que se invocam como descumpridas. - Ora, a jurisprudência última que se firmou no Supremo Tribunal Federal indica que o juízo do recurso de revista é que constitui a sede própria do prequestionamento da matéria constitucional para efeito de propiciar o recurso extraordinário trabalhista, estando aí implícitas as exigências sobre prequestionamento, que não foram atendidas na hipótese, pois o acórdão embargado se posicionou, certa ou erradamente, mas exclusivamente, no tocante ao próprio cabimento do recurso da revista, sob o prisma processual da recorribilidade da decisão regional então impugnada. - Diante disso, a jurisprudência desta Corte, aduzida pela Agravante não tem correspondência à espécie. - Decerto, as questões suscitadas na instância regional são envolventes de temas constitucionais, pertinentes à aplicação do art. 106 da Constituição, todavia pelo Tribunal Superior do Trabalho. - Pela fundamentação do recurso extraordinário, toda atinente à matéria de índole processual, em seu ataque ao acórdão recorrido que a ela se restringiu, se vê que, dos dispositivos nele suscitados, somente foi prequestionado na decisão o art. 153, § 4º da Constituição, e assim por acréscimo e ausente suscitação nos embargos, e corretamente para afastar a eventualidade de sua infringência. - Todos os ângulos, portanto, o recurso extraordinário é incabível. - Por isso, e em atenção aos precedentes desta Corte, em casos similares, nego provimento ao agravo. Julgado em 24-02-1984 Revista Trimestral de Jurisprudência. Outubro, 1984 - Vol. 110 - Pág. 216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da instância trabalhista sobre o descabimento de embargos opostos a julgado de Turma proferido em agravo, tem cunho de interpretação do art. 894 da CLT, sem implicar questão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2026-10-16T18:17:56.136Z</dcterms:created>
  <dcterms:modified xsi:type="dcterms:W3CDTF">2026-10-16T18:17:56.136Z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