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21/11/1984</w:t>
      </w:r>
    </w:p>
    <w:p/>
    <w:p>
      <w:r>
        <w:t xml:space="preserve">VALOR LÍQUIDO ATUALIZADO — ACRÉSCIMO INDEVIDO A TÍTULO DE CORREÇÃO MONETÁRIA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Esta Turma tem posição firmada contrária à incidência de correção monetária sobre valores resultantes de correção, quando o principal já foi pago em valores corrigidos, e a atualização da correção também já está liquidada. Entende a Turma que, pago, o principal corrigido, só incide correção se cabível para atualizar esse valor, considerando-se a data do cálculo e a do pagamento. Daí em diante, não incide mais atualização, sob pena de se eternizar a execução. Orientação nesse sentido a adotada pelo Egrégio TST na Súmula nº 193, em relação aos débitos de pessoas jurídicas de direito público. TRT-3.681/81. Julgado em 22-11-1984 Arquivo do Ementário Forense, TRT/333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Depositando a executada em Juízo, à disposição dos exequentes, o valor líquido atualizado, considera-se cumprida a condenação e indevido qualquer acréscimo a título de reatualização da correção monetária.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2026-07-28T03:41:46.976Z</dcterms:created>
  <dcterms:modified xsi:type="dcterms:W3CDTF">2026-07-28T03:41:46.976Z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