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JUNTA DE CONCILIAÇÃO E JULGAMENTO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21/11/1984</w:t>
      </w:r>
    </w:p>
    <w:p/>
    <w:p>
      <w:r>
        <w:t xml:space="preserve">VALOR LÍQUIDO ATUALIZADO — ACRÉSCIMO INDEVIDO A TÍTULO DE CORREÇÃO MONETÁRIA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: - Esta Turma tem posição firmada contrária à incidência de correção monetária sobre valores resultantes de correção, quando o principal já foi pago em valores corrigidos, e a atualização da correção também já está liquidada. Entende a Turma que, pago, o principal corrigido, só incide correção se cabível para atualizar esse valor, considerando-se a data do cálculo e a do pagamento. Daí em diante, não incide mais atualização, sob pena de se eternizar a execução. Orientação nesse sentido a adotada pelo Egrégio TST na Súmula nº 193, em relação aos débitos de pessoas jurídicas de direito público. TRT-3.681/81. Julgado em 22-11-1984 Arquivo do Ementário Forense, TRT/333 EMFOR 437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Depositando a executada em Juízo, à disposição dos exequentes, o valor líquido atualizado, considera-se cumprida a condenação e indevido qualquer acréscimo a título de reatualização da correção monetária.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2026-10-16T17:18:53.486Z</dcterms:created>
  <dcterms:modified xsi:type="dcterms:W3CDTF">2026-10-16T17:18:53.486Z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