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07/02/1982</w:t>
      </w:r>
    </w:p>
    <w:p/>
    <w:p>
      <w:r>
        <w:t xml:space="preserve">FALTA DE DISSÍDIO E SEM SENTENÇA TRANSITADA EM JULGADO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colendo Tribunal Superior do Trabalho já estabeleceu, através dos Prejulgados nº 57, o seguinte : "A justiça do Trabalho só tem competência para autorizar o levantamento do depósito do FGTS na ocorrência de dissídio entre empregado e empregador e após o trânsito em julgado da sentença". - Ora, no presente caso, inexiste dissídio entre empregado e empregador nem sentença transitada em julgado, ficando evidenciada a incompetência da Justiça do Trabalho para autorizar o levantamento pretendido. - ... A competência para autorizar o levantamento em questão é do próprio BNH e, se necessidade houver de intervenção do judiciário, esta deverá ser efetuada através da Justiça Federal. TRT-RO-2.538/81. Julgado em 08-02-1982 Arquivo do Ementário Forense, TRT/326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expedir alvará de levantamento do FGTS, sem a ocorrência de dissídio entre empregado e empregador e sem sentença transitada em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2026-07-28T01:17:59.029Z</dcterms:created>
  <dcterms:modified xsi:type="dcterms:W3CDTF">2026-07-28T01:17:59.029Z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