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98.056-3</w:t>
      </w:r>
    </w:p>
    <w:p>
      <w:r>
        <w:rPr>
          <w:b/>
          <w:bCs/>
        </w:rPr>
        <w:t xml:space="preserve">Julgado em: </w:t>
      </w:r>
      <w:r>
        <w:t xml:space="preserve">15/09/1983</w:t>
      </w:r>
    </w:p>
    <w:p/>
    <w:p>
      <w:r>
        <w:t xml:space="preserve">DIVERSIFICAÇÃO POR REGIÃO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pretensão dos recorridos reclama contra o Plano de Classificação e de remuneração pelo critério de zoneamento, adotado pela recorrente, que diversifica os salários, segundo as regiões geo-econômicas. Ora, se a recorrente assim procedeu no porto, esteja excluído do alcance da citada Lei níveis salariais percebidos pelos recorridos, não viola nenhum direito destes, nomeadamente o direito a uma equiparação salarial com os empregados das demais zonas. - A recorrente pode diversificar a remuneração de seus servidores, espalhados em vários pontos do território nacional, atendendo às peculiaridades locais, aos fatores econômicos, à maior ou menor oferta de mão-de-obra especializada ou não, nos mesmos critérios adotados para a fixação do salário mínimo, por regiões. - Neste sentido, é bem a propósito a recente decisão deste Colendo Tribunal de que foi Relator o eminente Ministro SOARES MUÑOZ, transcrita no parecer da Eg. Procuradoria-Geral da República (RE nº 98.056-3 - DJ de 1-11-82). Julgado em 16-09-1983 Revista Trimestral de Jurisprudência. Setembro 1984 - Vol. 109 - Pág. 1.165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plano de classificação dos trabalhadores da RFFSA, instituindo o salário por zona, não credencia a equiparação pelo princípio da isonomia do art. 461 § 2º, da CLT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2026-07-28T01:29:28.360Z</dcterms:created>
  <dcterms:modified xsi:type="dcterms:W3CDTF">2026-07-28T01:29:28.360Z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