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COMPETÊNCIA</w:t>
      </w:r>
    </w:p>
    <w:p>
      <w:r>
        <w:rPr>
          <w:i/>
          <w:iCs/>
          <w:color w:val="666666"/>
        </w:rPr>
        <w:t xml:space="preserve">JUNTA DE CONCILIAÇÃO E JULGAMENTO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SE INCIDE SOBRE O DÉBITO DO EMPREGADO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tese defendida pela Agravante diz respeito à aplicação de correção monetária nos débitos do empregado para com o empregador, eis que os créditos são corrigidos monetariamente. - Comungo com o despacho do Exmo. Sr. Presidente do E. TRT "a quo"... - Assim, de conformidade com o parecer da douta Procuradoria, nego provimento ao Agravo, à luz da Súmula 187, desta Corte. Proc. TST-AI-3.381/84, ac. de 05-12-1984 Arquivo do Ementário Forense, TST/1.755 (*) "A correção monetária não incide sobre o débito do trabalhador reclamante." ("EMENTÁRIO FORENSE", Nº 435, st. DÉBITO DO EMPREGADO) EMFOR 440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correção monetária não incide sobre o débito do trabalhador Reclamante.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2026-07-28T01:19:47.126Z</dcterms:created>
  <dcterms:modified xsi:type="dcterms:W3CDTF">2026-07-28T01:19:47.126Z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