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03/03/1985</w:t>
      </w:r>
    </w:p>
    <w:p/>
    <w:p>
      <w:r>
        <w:t xml:space="preserve">TEMPO DE SERVIÇO — COMO DEVE SER AFERIDO - SE NA FUNÇÃO, SE NO EMPREGO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a reclamada que a diferença de tempo na função entre a paradigma e a reclamante é superior a 2 anos. - Não há que se falar em violação ao § 1º do art. 461 da CLT, porquanto o regional esclarece que "... quanto ao tempo na função, verifica-se que a paradigma passou a exercer a função de telefonista em 01-10-80 (...), enquanto que a reclamante foi admitida, já como telefonista, em 03-08-81 (...). A diferença de tempo na função (Súmula 135 TST (*), por ser inferior a dois anos (art. 461, § 2º, da CLT não constitui óbice à equiparação pretendida'(...). - Igualmente, inexiste infringência à Súmula 120 (**), porque esta nada tem a ver com a hipótese dos autos. - Os arestos trazidos a cotejo disservem ao confronto, eis que não contrariam a hipótese dos autos. - Não conheço. Proc. TST-RR-6.510/84, Julgado em 04-03-1985 Arquivo do Ementário Forense, TST/1.752 (*) "Para efeito de equiparação de salários, em caso de trabalho igual, conta-se o tempo de serviço na função, e não no emprego." ("EMENTÁRIO FORENSE", Nº 410). (**) "Presentes os pressupostos do art. 461 da CLT, é irrelevante a circunstância de que o desnível salarial tenha origem em decisão judicial que beneficiou o paradigma". ("EMENTÁRIO FORENSE", Nº 396, st. REQUISITOS).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diferença de tempo entre reclamante e paradigma prevista no § 1º do artigo 461 da Consolidação das Leis do Trabalho é na função e não na empresa, não constituindo óbice à equiparação salarial.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2026-10-16T16:12:38.601Z</dcterms:created>
  <dcterms:modified xsi:type="dcterms:W3CDTF">2026-10-16T16:12:38.601Z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