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18/12/1984</w:t>
      </w:r>
    </w:p>
    <w:p/>
    <w:p>
      <w:r>
        <w:t xml:space="preserve">COMPLEMENTAÇÃO — EXTINÇÃO DO CONTRATO DE TRABALHO - QUANDO É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pelo primeiro aresto citado ... - O banco foi condenado na "parte correspondente à dobra de duas férias" (...). Entendo, por isso, ter sido reconhecido ao reclamante o valor que complementará o dobro das férias, já que ele não as desfrutou, "preferindo continuar em serviço (...). Essa dobra impõe-se pelo art. 146, da Consolidação das Leis do Trabalho e tendo em vista o preceito da obrigatoriedade do seu gozo (art. 138 consolidado). Impõe-se essa solução, pois se o mesmo ainda persistisse, o que caberia era a fixação compulsória do gozo das férias não usufruídas, conforme dispõe o art. 137, § 1º, da CLT. Nego provimento... . Proc. TST-RR-5.489/83, Julgado em 19-12-1984 Arquivo do Ementário Forense, TST/1.753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empregado tem o direito de receber a complementação do dobro das férias, quando da extinção do contrato de trabalho, se ele não as gozou, mas apenas recebeu o valor simples correspondente a elas e continuou a trabalhar.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2026-07-28T01:38:55.805Z</dcterms:created>
  <dcterms:modified xsi:type="dcterms:W3CDTF">2026-07-28T01:38:55.805Z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