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03/03/1985</w:t>
      </w:r>
    </w:p>
    <w:p/>
    <w:p>
      <w:r>
        <w:t xml:space="preserve">INOBSERVÂNCIA DE EXIGÊNCIAS LEGAIS — OBRIGAÇÃO DE PAGAR O ADICIONAL RESPECTIVO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"Data venia", o desatendimento às exigências do art. 60 da CLT não gera apenas sanções administrativas. - A Súmula 85 assim determina: "O não atendimento das exigências legais para a adoção do regime de compensação de horário semanal não implica na repetição do pagamento das horas excedentes, sendo devido, apenas, o adicional respectivo." - Assim sendo, devido é o adicional de 25% sobre as horas irregularmente compensadas. Proc. TST-RR-4.272/83, Julgado em 04-03-1985 Arquivo do Ementário Forense, TST/ 1.751 (*) In "EMENTÁRIO FORENSE", Nº 370.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 atendimento das exigências contidas no artigo 60 da Consolidação das Leis do Trabalho para o acordo de compensação de horário acarreta a aplicação da Súmula 85(*).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2026-10-16T16:27:24.045Z</dcterms:created>
  <dcterms:modified xsi:type="dcterms:W3CDTF">2026-10-16T16:27:24.045Z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