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03/03/1985</w:t>
      </w:r>
    </w:p>
    <w:p/>
    <w:p>
      <w:r>
        <w:t xml:space="preserve">INOBSERVÂNCIA DE EXIGÊNCIAS LEGAIS — OBRIGAÇÃO DE PAGAR O ADICIONAL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"Data venia", o desatendimento às exigências do art. 60 da CLT não gera apenas sanções administrativas. - A Súmula 85 assim determina: "O não atendimento das exigências legais para a adoção do regime de compensação de horário semanal não implica na repetição do pagamento das horas excedentes, sendo devido, apenas, o adicional respectivo." - Assim sendo, devido é o adicional de 25% sobre as horas irregularmente compensadas. Proc. TST-RR-4.272/83, Julgado em 04-03-1985 Arquivo do Ementário Forense, TST/ 1.751 (*) In "EMENTÁRIO FORENSE", Nº 370.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atendimento das exigências contidas no artigo 60 da Consolidação das Leis do Trabalho para o acordo de compensação de horário acarreta a aplicação da Súmula 85(*).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2026-07-28T01:34:51.845Z</dcterms:created>
  <dcterms:modified xsi:type="dcterms:W3CDTF">2026-07-28T01:34:51.845Z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