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19/10/1983</w:t>
      </w:r>
    </w:p>
    <w:p/>
    <w:p>
      <w:r>
        <w:t xml:space="preserve">INCIDÊNCIA SOBRE O VALOR DA CAUSA E NÃO SOBRE O VALOR DA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embargos estão em condições de ser conhecidos. - A parte dispositiva da decisão aos embargos anteriormente apreciados comina a multa "sobre o total da condenação" (...), por serem manifestadamente protelatórios os mesmos. O que se disse na fundamentação, no entanto, foi que a multa deveria incidir "sobre o valor da causa" (...). Estabeleceu-se, assim, não só contradição intrínseca, como extrínseca, pois o que dispõe a lei (art. 538, parágrafo único, do Código de Processo Civil), é que a multa "não poderá exceder de 1% (um por cento) sobre o valor da causa"................................................................................ - Dou provimento aos embargos declaratórios para, eliminando a contradição, mandar que a multa incida sobre o valor da causa e não sobre o valor total da condenação. Proc. TST-ED-AI- 5.737/82 Julgado em 20-10-1983 Arquivo do Ementário Forense, TST/ 1.710 EMFOR 434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protelatórios os embargos declaratórios, a multa deve incidir sobre o valor da causa e não sobre o valor total da condenação.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2026-07-28T03:36:12.127Z</dcterms:created>
  <dcterms:modified xsi:type="dcterms:W3CDTF">2026-07-28T03:36:12.127Z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