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19/10/1983</w:t>
      </w:r>
    </w:p>
    <w:p/>
    <w:p>
      <w:r>
        <w:t xml:space="preserve">INCIDÊNCIA SOBRE O VALOR DA CAUSA E NÃO SOBRE O VALOR DA CONDENAÇÃO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embargos estão em condições de ser conhecidos. - A parte dispositiva da decisão aos embargos anteriormente apreciados comina a multa "sobre o total da condenação" (...), por serem manifestadamente protelatórios os mesmos. O que se disse na fundamentação, no entanto, foi que a multa deveria incidir "sobre o valor da causa" (...). Estabeleceu-se, assim, não só contradição intrínseca, como extrínseca, pois o que dispõe a lei (art. 538, parágrafo único, do Código de Processo Civil), é que a multa "não poderá exceder de 1% (um por cento) sobre o valor da causa"................................................................................ - Dou provimento aos embargos declaratórios para, eliminando a contradição, mandar que a multa incida sobre o valor da causa e não sobre o valor total da condenação. Proc. TST-ED-AI- 5.737/82 Julgado em 20-10-1983 Arquivo do Ementário Forense, TST/ 1.710 EMFOR 434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protelatórios os embargos declaratórios, a multa deve incidir sobre o valor da causa e não sobre o valor total da condenação.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2026-10-16T16:06:17.913Z</dcterms:created>
  <dcterms:modified xsi:type="dcterms:W3CDTF">2026-10-16T16:06:17.913Z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