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>
      <w:r>
        <w:rPr>
          <w:b/>
          <w:bCs/>
        </w:rPr>
        <w:t xml:space="preserve">Julgado em: </w:t>
      </w:r>
      <w:r>
        <w:t xml:space="preserve">18/01/1984</w:t>
      </w:r>
    </w:p>
    <w:p/>
    <w:p>
      <w:r>
        <w:t xml:space="preserve">OBRIGAÇÃO IMPOSTA DE PERMANECER NO LOCAL DE TRABALHO SEM TRABALHAR — DESVIRTUAMENTO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reclamada não dispensou o empregado do Aviso Prévio, porém o impediu de trabalhar, exigindo sua apresentação diária na obra, com permanência no escritório durante seis horas, a fim de perceber o salário correspondente. - "Data venia", isso constitui manifesto desvirtuamento do disposto no art. 487, da CLT. - Ou a reclamada dispensa o empregado do cumprimento do aviso prévio, pagando-lhe o salário correspondente, ou lhe exige a prestação de serviços. - A inatividade forçada do empregado assume caráter punitivo e fere a dignidade do trabalhador. O trabalho não é somente um direito mas também um dever. - Já se disse que privar o homem do exercício da atividade social primária, que é o trabalho, condição essencial à sobrevivência do ser humano, é privá-lo da dignidade humana, é privá-lo de ser homem. - Daí por que as faltas ao serviço que o reclamante cometeu no curso do aviso prévio não foram injustificadas, mas, justificadas, sendo-lhe devido o pagamento da complementação do aviso prévio, conforme decidiu o julgado. TRT-5.010/83, Julgado em 19-01-1984 Arquivo do Ementário Forense, TRT/309 EMFOR 435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concessão do Aviso Prévio ao empregado com a obrigação deste permanecer no escritório sem trabalhar, fica evidente o desvirtuamento do aviso, devendo a empresa pagar o salário dos dias em que o empregado deixou de comparecer.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2026-10-16T16:14:40.067Z</dcterms:created>
  <dcterms:modified xsi:type="dcterms:W3CDTF">2026-10-16T16:14:40.067Z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