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29/11/1983</w:t>
      </w:r>
    </w:p>
    <w:p/>
    <w:p>
      <w:r>
        <w:t xml:space="preserve">, Julgado em 01-12-1983
Arquivo do Ementário Forense, TRT/311
EMFOR 435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Persegue o Autor, com a precedência da ação, a condenação da Ré ao pagamento de juros e correção monetária, desde a época própria até o final pagamento do principal e não como foram deferidos e mantidos pelo acórdão apontado como rescindendo, isto é, limitados à data da decretação da liquidação extrajudicial da instituição financeira Ré. - A hipótese se ajusta como luva, a meu ver, à vedação da "Súmula 83"(*), ao dispor que "Não cabe ação rescisória por violação literal de Lei quando a decisão rescindenda estiver baseada em texto legal de interpretação controvertida nos Tribunais". - In "casu", discute-se a interpretação do art. 18 da Lei 6.024/74 e sua aplicação na esfera trabalhista, já que dispões que não correm juros e correção monetária contra empresa em liquidação extrajudicial, como é a hipótese dos autos. Nesse sentido, é a jurisprudência predominante, citada na "Súmula 185"(**). - Assim, JULGO IMPROCEDENTE A AÇÃO, condenando o Autor ao pagamento das custas, que serão calculadas sobre o valor atribuído à causa (...). Proc. TST-AR-38/81, Julgado em 30-11-1983 Arquivo do Ementário Forense, TST/1.715 (*) In EMENTÁRIO FORENSE, Nº 370, t. AÇÃO RESCISÓRIA, st. OFENSA À LEI. (**)"Aplicada a Lei 6.024/74, fica suspensa a incidência de juros e correção monetária nas liquidações de empresas sob intervenção do Banco Central". (In EMENTÁRIO FORENSE). EMFOR 435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Aplicada a Lei 6.024/74, fica suspensa a incidência de juros e correção monetária nas liquidações de empresas sob intervenção do Banco Central.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2026-07-28T03:39:26.313Z</dcterms:created>
  <dcterms:modified xsi:type="dcterms:W3CDTF">2026-07-28T03:39:26.313Z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