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INTERMEDIÁRIO DE NEGÓCIO</w:t>
      </w:r>
    </w:p>
    <w:p>
      <w:r>
        <w:rPr>
          <w:i/>
          <w:iCs/>
          <w:color w:val="666666"/>
        </w:rPr>
        <w:t xml:space="preserve">REGULAMENTAÇÃO COMO PROFISSÃO</w:t>
      </w:r>
    </w:p>
    <w:p/>
    <w:p/>
    <w:p>
      <w:r>
        <w:t xml:space="preserve">FALTA — INDENIZAÇÃO - FALTA DE PREVISÃO LEGAL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Indenização pela falta de anotação da saída na CTPS. Postula, por fim, o reclamante, o pagamento de indenização pela falta de anotação da data de saída na CTPS, invocando os arts. 4º e 159 do Código Civil e alegando que o contrato anotado impedia a obtenção de novo emprego. - Sem razão, mais uma vez. Inexiste previsão legal para deferimento de multa pela falta de anotação da data da saída na CTPS do empregado. O art. 29, § 3º, da CLT prevê, expressamente, para a hipótese de descumprimento, pelo empregador, da obrigação legal de anotar a carteira do empregado, "a lavratura de auto de infração pelo Fiscal do Trabalho, que deverá, de ofício, comunicar a falta de anotação ao órgão competente, para o fim de instaurar o processo de anotação". Ac. de 25-05-1999 Revista Ltr, abril de 2000, vol. 64, pág. 530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Inexiste previsão legal para deferimento de multa pela falta de anotação da data da saída na CTPS do empregado. (Ementa 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2026-09-10T22:12:13.556Z</dcterms:created>
  <dcterms:modified xsi:type="dcterms:W3CDTF">2026-09-10T22:12:13.556Z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