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INTERMEDIÁRIO DE NEGÓCIO</w:t>
      </w:r>
    </w:p>
    <w:p>
      <w:r>
        <w:rPr>
          <w:i/>
          <w:iCs/>
          <w:color w:val="666666"/>
        </w:rPr>
        <w:t xml:space="preserve">REGULAMENTAÇÃO COMO PROFISSÃO</w:t>
      </w:r>
    </w:p>
    <w:p/>
    <w:p/>
    <w:p>
      <w:r>
        <w:t xml:space="preserve">FALTA — INDENIZAÇÃO - FALTA DE PREVISÃO LEGAL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Indenização pela falta de anotação da saída na CTPS. Postula, por fim, o reclamante, o pagamento de indenização pela falta de anotação da data de saída na CTPS, invocando os arts. 4º e 159 do Código Civil e alegando que o contrato anotado impedia a obtenção de novo emprego. - Sem razão, mais uma vez. Inexiste previsão legal para deferimento de multa pela falta de anotação da data da saída na CTPS do empregado. O art. 29, § 3º, da CLT prevê, expressamente, para a hipótese de descumprimento, pelo empregador, da obrigação legal de anotar a carteira do empregado, "a lavratura de auto de infração pelo Fiscal do Trabalho, que deverá, de ofício, comunicar a falta de anotação ao órgão competente, para o fim de instaurar o processo de anotação". Ac. de 25-05-1999 Revista Ltr, abril de 2000, vol. 64, pág. 530 EMFOR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Inexiste previsão legal para deferimento de multa pela falta de anotação da data da saída na CTPS do empregado.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2026-10-26T04:59:44.304Z</dcterms:created>
  <dcterms:modified xsi:type="dcterms:W3CDTF">2026-10-26T04:59:44.304Z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