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Julgado em: </w:t>
      </w:r>
      <w:r>
        <w:t xml:space="preserve">26/01/1983</w:t>
      </w:r>
    </w:p>
    <w:p/>
    <w:p>
      <w:r>
        <w:t xml:space="preserve">QUANDO VOLTA O FEITO AO JUÍZO A QUE FOI DISTRIBUÍDO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Parecer da douta Procuradoria pela competência da 24ª JCJ, ou seja, a originária. - Como se verifica dos autos, não há identidade nos objetivos da demandada e a conexão, havida em alguns pontos, ficou sendo nenhuma com o julgamento pela improcedência e arquivamento da ação consignatória. - Adoto o bem fundamentado parecer da douta Procuradoria para decretar subsistente a competência da MM. 24ª JCJ para conhecer e julgar o feito. - Procedente o conflito, fica o mesmo decidido pela competência da MM. 24ª JCJ. TRT - CJ - 12/82. Julgado em 27-01-1983 Arquivo do EMFOR, TRT/350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Encerrado o feito dito conexo pelo arquivamento, mas, não havendo a conexão nos pedidos, prevalece a competência do Juízo ao qual o feito foi distribuído originariamente.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2026-10-16T16:14:47.892Z</dcterms:created>
  <dcterms:modified xsi:type="dcterms:W3CDTF">2026-10-16T16:14:47.892Z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