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26/01/1983</w:t>
      </w:r>
    </w:p>
    <w:p/>
    <w:p>
      <w:r>
        <w:t xml:space="preserve">QUANDO VOLTA O FEITO AO JUÍZO A QUE FOI DISTRIBUÍDO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Parecer da douta Procuradoria pela competência da 24ª JCJ, ou seja, a originária. - Como se verifica dos autos, não há identidade nos objetivos da demandada e a conexão, havida em alguns pontos, ficou sendo nenhuma com o julgamento pela improcedência e arquivamento da ação consignatória. - Adoto o bem fundamentado parecer da douta Procuradoria para decretar subsistente a competência da MM. 24ª JCJ para conhecer e julgar o feito. - Procedente o conflito, fica o mesmo decidido pela competência da MM. 24ª JCJ. TRT - CJ - 12/82. Julgado em 27-01-1983 Arquivo do EMFOR, TRT/350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Encerrado o feito dito conexo pelo arquivamento, mas, não havendo a conexão nos pedidos, prevalece a competência do Juízo ao qual o feito foi distribuído originariamente.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2026-07-28T04:23:22.495Z</dcterms:created>
  <dcterms:modified xsi:type="dcterms:W3CDTF">2026-07-28T04:23:22.495Z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