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07/12/1984</w:t>
      </w:r>
    </w:p>
    <w:p/>
    <w:p>
      <w:r>
        <w:t xml:space="preserve">SE A INTEGRA O DUODÉCIMO DO DÉCIMO TERCEIRO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recurso, quanto à indenização adicional, com base na Súmula 182 (*). - Efetivamente, o art. 4º § 2º do Decreto 84.500, de 14-03-1980, que regulamentou a Lei 6.708/79, se refere que a indenização corresponderá ao salário mensal na data da comunicação da dispensa. Logo, improcede a referida integração. - Assim, dou provimento ao recurso para excluir da condenação o cômputo do duodécimo do 13º salário no cálculo da indenização. TST - RR - 0.203/84. Julgado em 08-12-1984 Arquivo do EMFOR, TST/1.746 (*) "O tempo do aviso prévio, mesmo indenizado, conta-se para efeito de indenização adicional do art. 9º, da Lei 6.708." (nova redação) EMFOR 439 EMENTA: - Aplicação dos arts. 2º e 3º da CLT. - Configura-se o vínculo de emprego se o corretor de imóveis trabalha em empresa cujo objetivo essencial é a intermediação na compra e venda de imóveis, a qual orienta e coordena a prestação remunerando o prestador através da participação nas comissões auferidas. RESUMO DO ACÓRDÃO: - ... A não eventualidade ressalta evidente do confronto entre a atividade do postulante e a finalidade da empresa, pois, segundo fixou a doutrina, "só é serviço eventual aquele que não faz parte da vida normal do estabelecimento" (RUSSOMANO, "Comentários", 4ª ed., I vol. p. 43 e 44), ocorrendo que o labor do reclamante consistia em intermediar a venda de imóveis, sendo este também o objetivo fundamental da empresa reclamada. - A subordinação ou dependência jurídica e hierárquica está presente na coordenação e orientação exercida pela ré sobre a atividade do autor e demais corretores ou vendedores, assim como na organização pela empresa de grupos ou equipes de vendedores ou corretores e na colocação destes à disposição dos clientes. É manifesto o ordenamento e o comando da atividade exercida pela demandada. Revela-se, pois inequívoca a integração da atividade do credor do trabalho, nos objetivos da empresa, o que caracteriza a subordinação, na sua mais moderna concepção (RIBEIRO DE VILHENA, "Relação de Emprego", Saraiva, 1975). - Equívoca e sem consistência jurídica, "data venia", a invocação pela recorrente do quadro básico da organização sindical no Brasil, em que os corretores de imóveis figuram no terceiro grupo destinado ao comércio. O corretor de imóveis, como todo profissional liberal, médico, advogado, engenheiro, odontólogo etc. - é sabido - tanto pode ser um trabalhador autônomo como um empregado. - Corretor autônomo é o que se estabelece por conta própria, trabalha quando quer, como quer e se quiser, auferindo sua remuneração das comissões cobradas diretamente de seus cli entes. Difícil de admitir-se essa autonomia quando o corretor trabalha em empresa imobiliária, como na espécie, tendo de obedecer às condições de praxe da empresa, o que configura a dependência. Estão presentes, pois, na espécie, os pressupostos de incidência dos arts. 2º e 3º da CLT. TRT - 6.259/84. Julgado em 14-02-1985 Arquivo do EMFOR, TRT/366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duodécimo do 13º salário não integra o cálculo da indenização adicional prevista no art. 9º da Lei 6.708/79.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2026-10-16T16:14:53.454Z</dcterms:created>
  <dcterms:modified xsi:type="dcterms:W3CDTF">2026-10-16T16:14:53.454Z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