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25/01/1983</w:t>
      </w:r>
    </w:p>
    <w:p/>
    <w:p>
      <w:r>
        <w:t xml:space="preserve">FALTA — QUANDO NÃO É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o cerceio de defesa argüido, para o efeito de anular o julgamento, determinando a reabertura da instrução. - Ora, não se acha o reclamante obrigado a prestar depoimento pessoal se não foi este regularmente determinado pela Junta. - Sucede que essa determinação não foi feita em nenhum momento. - Há, é certo, referência constante do termo de adiamento de audiência, assinado pelo Chefe da Secretaria. Essa intimação porém, não tem qualquer valor, pois não emana de determinação da Junta. - Na audiência prefacial não se fez qualquer referência ao depoimento em apreço, sendo pois, uma excrescência a intimação por ela não se achando destarte o reclamante obrigado a depor na audiência seguinte. - Sendo assim, a dispensa a que alude a citada ata, transgride frontalmente a lei, constituindo inequívoco cerceio de defesa, eis que em razão da deturpação dos meios de prova se dera a sucumbência do direito. - Dou provimento ao recurso para anular o julgamento. TRT - 2.659/82. Julgado em 26-01-1983 Arquivo do EMFOR, TRT/358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cerceio de defesa se o indeferimento da prova testemunhal teve por fulcro imposição de pena de confissão por não comparecimento daquele cujo depoimento pessoal não fora regularmente exigido.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2026-07-28T04:21:58.343Z</dcterms:created>
  <dcterms:modified xsi:type="dcterms:W3CDTF">2026-07-28T04:21:58.343Z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