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24/08/1982</w:t>
      </w:r>
    </w:p>
    <w:p/>
    <w:p>
      <w:r>
        <w:t xml:space="preserve">CASEIRO — QUANDO COMO TAL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depoimentos colhidos nos autos, especialmente os de fls... em confronto com os documentos acostados, dão-nos a certeza de que o Recorrido jamais exerceu, ou quis exercer, qualquer atividade econômica no local em que trabalhou o Recorrente, sendo a obra referida no processo, destinada a recreio efetivamente, pelo que temerosa qualquer informação em sentido contrário, porque produto de simples liação sem qualquer substância. Assim, não provado o exercício de qualquer atividade econômica de empregador, agiu certamente a MM. Junta "a quo", ao julgar improcedente o pedido inicial, porque o Recorrente era efetivamente caseiro do recorrido e, como tal, empregado doméstico. TRT - 6.177/81. Julgado em 25-08-1982 Arquivo do EMFOR, TRT/357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provado o exercício de qualquer atividade econômica, por parte do empregador, o chamado caseiro é empregado doméstico, não fazendo juz às verbas eminentemente celetistas pretendidas.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2026-07-28T01:44:49.700Z</dcterms:created>
  <dcterms:modified xsi:type="dcterms:W3CDTF">2026-07-28T01:44:49.700Z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