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25/11/1984</w:t>
      </w:r>
    </w:p>
    <w:p/>
    <w:p>
      <w:r>
        <w:t xml:space="preserve">PEDIDO DE EMPREGADO ESTÁVEL CONSIDERAÇÃO DO MOTIVO SOCIAL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sentido social da lei deve ser preservado, quando contraposto a interesses diminutos das partes. Sendo a tendência da lei preservar, até onde seja possível, a relação de emprego, cuja terminação é excepcionada à justa causa, expressamente enumerada, não há de se entender, como motivo suficiente à rescisão do contrato vigente há longos anos de empregado estável e às vésperas da Aposentadoria a alteração unilateral cujo "status quo ante" pode ser restabelecido. - Na dicção de EVARISTO M. FILHO (citado por PLÁ RODRIGUEZ, in "Princípios de Direito do Trabalho", p. 135), finalidade da nova política social é manter o vínculo empregatício, também assegurando o Direito do Trabalho contemporâneo a estabilidade no emprego enquanto este durar e tiver uma possibilidade mínima de prosseguimento. A legislação social é evidentemente inspirada pelo princípio de amparo aos trabalhadores, mas amparo não significa que, a qualquer custo, se tenha que preservar os interesses destes últimos em detrimento dos empregadores. O intérprete deve adotar uma valoração eqüitativa, considerando os interesses opostos das partes e, em caso de dúvida, deve decidir em favor do caráter indeterminado do fato. TST - RR - 5.151/83, Julgado em 26-11-1984 Arquivo do EMFOR, TST/1.742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empregado estável que pleiteia rescisão indireta, o motivo alegado deve ser de porte a tornar impossível a mantença do vínculo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2026-10-16T16:16:45.826Z</dcterms:created>
  <dcterms:modified xsi:type="dcterms:W3CDTF">2026-10-16T16:16:45.826Z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