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27/09/1982</w:t>
      </w:r>
    </w:p>
    <w:p/>
    <w:p>
      <w:r>
        <w:t xml:space="preserve">PREAVISO DE DEZ DIAS — FALTA - PENA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reclamada, em contestando disse que o reclamante com 20 anos de casa sempre gozou férias nesse mesmo período, tendo dado quitação do valor delas e as gozado normalmente, sem que nunca a empresa o tivesse pré avisado do início do descanso anual, dado o costume dele de gozá-las nessa época. - A sentença realça que é direito do empregador determinar a época das férias e que a concessão sem aquele aviso não trouxe prejuízo ao empregado, constituindo, quando muito, falta administrativa. - E assim é, na verdade. - A cominação da pena de pagamento em dobro só é possível quando o empregado não goza as férias no curso do período concessivo delas. E só. TRT - RO - 7.089/81. Julgado em 28-09-1982 Arquivo do EMFOR, TRT/352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do preaviso de 10 dias previsto no art. 134 da CLT, é falta sujeita à penalidade administrativa e não em pagamento em dobro do valor das férias.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2026-07-28T01:36:15.162Z</dcterms:created>
  <dcterms:modified xsi:type="dcterms:W3CDTF">2026-07-28T01:36:15.162Z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