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Julgado em: </w:t>
      </w:r>
      <w:r>
        <w:t xml:space="preserve">27/09/1982</w:t>
      </w:r>
    </w:p>
    <w:p/>
    <w:p>
      <w:r>
        <w:t xml:space="preserve">PREAVISO DE DEZ DIAS — FALTA - PENA ADMINISTRATIVA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reclamada, em contestando disse que o reclamante com 20 anos de casa sempre gozou férias nesse mesmo período, tendo dado quitação do valor delas e as gozado normalmente, sem que nunca a empresa o tivesse pré avisado do início do descanso anual, dado o costume dele de gozá-las nessa época. - A sentença realça que é direito do empregador determinar a época das férias e que a concessão sem aquele aviso não trouxe prejuízo ao empregado, constituindo, quando muito, falta administrativa. - E assim é, na verdade. - A cominação da pena de pagamento em dobro só é possível quando o empregado não goza as férias no curso do período concessivo delas. E só. TRT - RO - 7.089/81. Julgado em 28-09-1982 Arquivo do EMFOR, TRT/352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inexistência do preaviso de 10 dias previsto no art. 134 da CLT, é falta sujeita à penalidade administrativa e não em pagamento em dobro do valor das férias.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2026-10-16T17:18:00.727Z</dcterms:created>
  <dcterms:modified xsi:type="dcterms:W3CDTF">2026-10-16T17:18:00.727Z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