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01/10/1984</w:t>
      </w:r>
    </w:p>
    <w:p/>
    <w:p>
      <w:r>
        <w:t xml:space="preserve">DESCONHECIMENTO DA GRAVIDEZ PELO EMPREGADOR — DIREITO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fatos incontestes e comprovados nos autos são dois: houve dispensa de empregado com garantia de emprego e houve um parto, no período previsto de gestação, coberto pela garantia de emprego. Logo, a empregada estava grávida quando despedida, pouco importando que fosse ou não do conhecimento do empregador. Ciente este, deveria proceder à readmissão imediata. TST - RR - 584/84, Julgado em 02-10-1984 Arquivo do EMFOR, TST/1.718 (*) "Empregada gestante, dispensada sem motivo antes do período de seis semanas anteriores ao parto, tem direito à percepção do salário-maternidade."(In "EMENTÁRIO FORENSE", nº 410)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sem que o INPS ateste a gravidez sendo fato de fácil apuração, é de se preservar a garantia, mesmo dela desconhecendo o empregador.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2026-07-28T01:58:35.069Z</dcterms:created>
  <dcterms:modified xsi:type="dcterms:W3CDTF">2026-07-28T01:58:35.069Z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