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01/10/1984</w:t>
      </w:r>
    </w:p>
    <w:p/>
    <w:p>
      <w:r>
        <w:t xml:space="preserve">DESCONHECIMENTO DA GRAVIDEZ PELO EMPREGADOR — DIREITO AO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fatos incontestes e comprovados nos autos são dois: houve dispensa de empregado com garantia de emprego e houve um parto, no período previsto de gestação, coberto pela garantia de emprego. Logo, a empregada estava grávida quando despedida, pouco importando que fosse ou não do conhecimento do empregador. Ciente este, deveria proceder à readmissão imediata. TST - RR - 584/84, Julgado em 02-10-1984 Arquivo do EMFOR, TST/1.718 (*) "Empregada gestante, dispensada sem motivo antes do período de seis semanas anteriores ao parto, tem direito à percepção do salário-maternidade."(In "EMENTÁRIO FORENSE", nº 410)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sem que o INPS ateste a gravidez sendo fato de fácil apuração, é de se preservar a garantia, mesmo dela desconhecendo 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2026-10-16T18:32:54.204Z</dcterms:created>
  <dcterms:modified xsi:type="dcterms:W3CDTF">2026-10-16T18:32:54.204Z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