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05/12/1984</w:t>
      </w:r>
    </w:p>
    <w:p/>
    <w:p>
      <w:r>
        <w:t xml:space="preserve">QUANDO É VÁLIDA MESMO QUE EM DECORRÊNCIA DE PRETENDIDA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Possui validade o ato da opção, porque legítima, quer tendo em vista o art. 17 da Lei nº 5.107/66. Inexiste, porém, a rescisão contratual ante a continuidade da relação de emprego, o contrato laboral deve ser visto como um só. Mas tendo havido opção válida pelo regime do FGTS, a indenização só deve prevalecer em relação ao tempo anterior à mesma, nos termos do art. 16 da lei supra citada. Como porém, o reclamante já recebeu parte da indenização, deve receber apenas a parte que ainda não lhe foi paga, com incidência dos juros e correção monetária de que trata a Lei nº 5.107/66, sobre o total pago ou a pagar de indenização pleiteada. TST - RR - 7.067/83, Julgado em 06-12-1984 Arquivo do EMFOR, TST/349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 é a opção pelo FGTS, quando feita nos termos do art. 16 da Lei nº 5.107/66, ainda que como decorrência de rescisão pretendidamente celebrada nos termos da mesma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2026-07-28T04:24:33.901Z</dcterms:created>
  <dcterms:modified xsi:type="dcterms:W3CDTF">2026-07-28T04:24:33.901Z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