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06/12/1984</w:t>
      </w:r>
    </w:p>
    <w:p/>
    <w:p>
      <w:r>
        <w:t xml:space="preserve">AJUSTE TÁCITO CARACTERIZADO — QUANDO SÃO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participação nos lucros, não obstante aleatória, é salário assim como a gratificação de antiguidade, instituída ou atribuída pelo empregador. Ambas são devidas e pagas diretamente por este, e, "in casu", afirma o Regional que havia habitualidade, periodicidade e continuidade, o que, nos termos do Código Civil, configura o ajuste tácito, bastante a satisfazer a exigência do art. 457, § 1º da CLT, que, para tal hipótese, não exige o ajuste expresso. Daí o inevitável reflexo no cálculo das parcelas indenizatórias. - Nego provimento à revista. TST - RR - 2.026/83. Julgado em 07-12-1984 Arquivo do EMFOR, TST/1.740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457, § 1º da CLT. - A Participação dos lucros e a Gratificação de antigüidade são devidas se pagas diretamente pelo empregador com habitualidade, periodicidade e continuidade, o que nos termos do Código Civil, configura o ajuste tácito, bastante para satisfazer a exigência do dispositivo acima, que não o exige expresso.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2026-07-28T01:26:01.152Z</dcterms:created>
  <dcterms:modified xsi:type="dcterms:W3CDTF">2026-07-28T01:26:01.152Z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