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13/12/1984</w:t>
      </w:r>
    </w:p>
    <w:p/>
    <w:p>
      <w:r>
        <w:t xml:space="preserve">SE COM ELE SE BENEFICIA O DEPARTAMENTO MUNICIPAL DE LIMPEZA URBANA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Departamento Municipal de Limpeza Urbana - DMLU, criado pela Lei Municipal 4.080/75, possui renda própria e, conseqüentemente, enquadra-se na parte final do art. 1º do Dec.-lei 779/69 que exclui de seus benefícios as autarquias ou fundações de direito público federais, estaduais ou municipais que explorem atividades econômicas. - Não gozando dos privilégios instituídos pelo mencionado decreto, não se conhece do recurso "ex officio", como acentua a douta Procuradoria. - Por outro lado, não gozando das isenções previstas no mencionado diploma legal, e não tendo efetuado o depósito recursal, nem pago as custas, é deserto o recurso voluntário. TRT - 7.326/84. Julgado em 14-12-1984 Arquivo do EMFOR, TRT/343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Criado pela Lei Municipal 4.080/75, o Departamento Municipal de Limpeza Urbana possui renda própria, não gozando dos privilégios do Dec.-lei nº 779/6.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2026-07-28T02:42:00.586Z</dcterms:created>
  <dcterms:modified xsi:type="dcterms:W3CDTF">2026-07-28T02:42:00.586Z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