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13/12/1984</w:t>
      </w:r>
    </w:p>
    <w:p/>
    <w:p>
      <w:r>
        <w:t xml:space="preserve">SE COM ELE SE BENEFICIA O DEPARTAMENTO MUNICIPAL DE LIMPEZA URBANA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Departamento Municipal de Limpeza Urbana - DMLU, criado pela Lei Municipal 4.080/75, possui renda própria e, conseqüentemente, enquadra-se na parte final do art. 1º do Dec.-lei 779/69 que exclui de seus benefícios as autarquias ou fundações de direito público federais, estaduais ou municipais que explorem atividades econômicas. - Não gozando dos privilégios instituídos pelo mencionado decreto, não se conhece do recurso "ex officio", como acentua a douta Procuradoria. - Por outro lado, não gozando das isenções previstas no mencionado diploma legal, e não tendo efetuado o depósito recursal, nem pago as custas, é deserto o recurso voluntário. TRT - 7.326/84. Julgado em 14-12-1984 Arquivo do EMFOR, TRT/343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Criado pela Lei Municipal 4.080/75, o Departamento Municipal de Limpeza Urbana possui renda própria, não gozando dos privilégios do Dec.-lei nº 779/6.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2026-10-26T03:10:17.725Z</dcterms:created>
  <dcterms:modified xsi:type="dcterms:W3CDTF">2026-10-26T03:10:17.725Z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