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75.349</w:t>
      </w:r>
    </w:p>
    <w:p/>
    <w:p>
      <w:r>
        <w:t xml:space="preserve">INSCRIÇÃO DA PENHORA E BOA FÉ DO ADQUIRENTE — SE SÃO NECESSÁRIAS À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basta que se proponha o processo de execução por título líquido e certo, e dele seja citado o devedor para que se configure a fraude à execução na venda, por este, dos seus bens. - A propósito , diz HUMBERTO THEODORO: "Nem é preciso que a penhora esteja inscrita, para que se considere a alienação de seu objeto em fraude de execução. A penhora não traz a indisponibilidade dos bens apreendidos, como entendia a antiga doutrina civilista. Mas torna ineficaz, perante o processo, qualquer ato de disposição praticado pelo devedor que desrespeite a constrição. E essa ineficácia decorre da própria penhora, que é ato público e solene, e não de sua inscrição no Registro de Imóveis, como ressalta PONTES DE MIRANDA. A inscrição, aliás, nem é formalidade obrigatória. Seu fim é apenas dar eficácia erga omnes ao gravame nas sucessivas alienações do bem penhorado, após o ato de disposição do executado. Na primeira venda, no entanto, isto é, aquela praticada pelo próprio devedor, em afronta à execução, ocorre uma violação direta ao ato solene que é a penhora e essa disposição apresenta-se automaticamente ineficaz, sem qualquer subordinação à prévia inscrição. Só nas alienações posteriores, que não são realizadas pelo executado, e que necessário se torna o ato de registro para fazer com que a ineficácia da fraude de execução atinja terceiros adquirentes de boa-fé. ("Processo de Execução", 1975, págs. 120/121). - Como se vê, não é necessária a demonstração do "concilium fraudis", na venda, pelo devedor, de bem sujeito à execução. A má-fé, no caso, do devedor alienante, é que torna desnecessária a inscrição da venda do bem no Registro de Imóveis para caracterizá-la. - Esse aspecto foi muito bem ressaltado em voto do Ministro BARROS MONTEIRO, quando ainda Desembargador, citado pelo Ministro LUIZ GALLOTTI, no RE 75.349 (RTJ 64/287): "Nos casos de fraude à execução, não há cuidar de boa ou má-fé do adquirente: pode a operação ser anulada desde que ao tempo da mesma já houvesse contra o alienante demanda capaz de alterar-lhe o patrimônio, reduzindo-o à insolvência. Não se requer que, em tal demanda, haja penhora, e muito menos que tenha ela sido inscrita: basta a existência da lide pendente e a situação de insolvência do acionado." - A má-fé da devedora mais realça na circunstância do bem imóvel ter sido nomeado à penhora em outubro de 1978 e vendido em março de 1979. - A venda, como exposto acima, não é nula, é ineficaz. Ac. de 30-05-1986 Revista Trimestral de Jurisprudência, Outubro, 1987 - Vol. 122 - Pág. 349.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cuidar, na espécie de boa ou má-fé do adquirente do bem do devedor, para figurar a fraude. Basta a certeza de que, ao tempo da alienação, já corria demanda capaz de alterar o patrimônio do devedor, reduzindo-o à insolvência. Proposta a execução, desnecessária a inscrição da penhora para ineficácia de venda posteriormente feita, sendo suficiente o desrespeito a ela, por parte do executado.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2026-10-26T03:06:03.528Z</dcterms:created>
  <dcterms:modified xsi:type="dcterms:W3CDTF">2026-10-26T03:06:03.528Z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